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rPr>
          <w:rFonts w:eastAsia="方正黑体_GBK"/>
          <w:szCs w:val="30"/>
        </w:rPr>
      </w:pPr>
      <w:r>
        <w:rPr>
          <w:rFonts w:hint="eastAsia" w:eastAsia="方正黑体_GBK"/>
          <w:szCs w:val="30"/>
        </w:rPr>
        <w:t>附件</w:t>
      </w:r>
      <w:r>
        <w:rPr>
          <w:rFonts w:eastAsia="方正黑体_GBK"/>
          <w:szCs w:val="30"/>
        </w:rPr>
        <w:t>1</w:t>
      </w:r>
    </w:p>
    <w:p>
      <w:pPr>
        <w:overflowPunct w:val="0"/>
        <w:ind w:firstLine="600"/>
      </w:pPr>
    </w:p>
    <w:p>
      <w:pPr>
        <w:pStyle w:val="10"/>
        <w:overflowPunct w:val="0"/>
        <w:rPr>
          <w:rFonts w:ascii="Times New Roman"/>
          <w:bCs/>
        </w:rPr>
      </w:pPr>
      <w:r>
        <w:rPr>
          <w:rFonts w:ascii="Times New Roman"/>
        </w:rPr>
        <w:t>2019</w:t>
      </w:r>
      <w:r>
        <w:rPr>
          <w:rFonts w:hint="eastAsia" w:ascii="Times New Roman"/>
        </w:rPr>
        <w:t>年风电项目建设工作方案</w:t>
      </w:r>
    </w:p>
    <w:p>
      <w:pPr>
        <w:overflowPunct w:val="0"/>
        <w:ind w:firstLine="640"/>
        <w:jc w:val="left"/>
        <w:rPr>
          <w:rFonts w:eastAsia="仿宋_GB2312"/>
          <w:sz w:val="32"/>
          <w:szCs w:val="32"/>
        </w:rPr>
      </w:pPr>
      <w:bookmarkStart w:id="0" w:name="_GoBack"/>
      <w:bookmarkEnd w:id="0"/>
    </w:p>
    <w:p>
      <w:pPr>
        <w:pStyle w:val="22"/>
        <w:overflowPunct w:val="0"/>
      </w:pPr>
      <w:r>
        <w:rPr>
          <w:rFonts w:hint="eastAsia"/>
        </w:rPr>
        <w:t>为促进风电高质量发展，加快降低补贴强度，现就做好2019年度风电建设管理工作有关要求通知如下。</w:t>
      </w:r>
    </w:p>
    <w:p>
      <w:pPr>
        <w:pStyle w:val="2"/>
        <w:overflowPunct w:val="0"/>
      </w:pPr>
      <w:r>
        <w:rPr>
          <w:rFonts w:hint="eastAsia"/>
        </w:rPr>
        <w:t>一、有序按规划和消纳能力组织项目建设</w:t>
      </w:r>
    </w:p>
    <w:p>
      <w:pPr>
        <w:pStyle w:val="22"/>
        <w:overflowPunct w:val="0"/>
      </w:pPr>
      <w:r>
        <w:rPr>
          <w:rFonts w:hint="eastAsia"/>
        </w:rPr>
        <w:t>各省级能源主管部门要按照《可再生能源发展“十三五”规划》《风电发展“十三五”规划》以及《国家能源局关于可再生能源发展“十三五”规划实施的指导意见》（国能发新能〔2017〕31号，以下简称《指导意见》）要求，在论证并落实消纳能力的前提下，有序组织各类风电项目建设。《指导意见》中本省级区域2020年规划并网目标，减去2018年底前已并网和已核准在有效期并承诺建设的风电项目规模（不包括分散式风电、海上风电、平价上网风电项目、国家能源局专项布置的示范试点项目和跨省跨区外送通道配套项目），为2019年度各省级区域竞争配置需国家补贴风电项目的总规模。在省级电网区域内消纳的风电项目由省级电网企业出具电力送出和消纳意见，跨省跨区输电通道配套风电项目的消纳条件应由送受端电网企业联合论证。国家电网有限公司、南方电网公司等电网企业在国家能源局指导下督促各省级电网企业做好风电项目电力送出和消纳落实工作。</w:t>
      </w:r>
    </w:p>
    <w:p>
      <w:pPr>
        <w:pStyle w:val="2"/>
        <w:overflowPunct w:val="0"/>
      </w:pPr>
      <w:r>
        <w:rPr>
          <w:rFonts w:hint="eastAsia"/>
        </w:rPr>
        <w:t>二、完善市场配置资源方式</w:t>
      </w:r>
    </w:p>
    <w:p>
      <w:pPr>
        <w:pStyle w:val="22"/>
        <w:overflowPunct w:val="0"/>
      </w:pPr>
      <w:r>
        <w:rPr>
          <w:rStyle w:val="16"/>
          <w:rFonts w:hint="eastAsia"/>
        </w:rPr>
        <w:t>（一）完善集中式风电项目竞争配置机制。</w:t>
      </w:r>
      <w:r>
        <w:rPr>
          <w:rFonts w:hint="eastAsia"/>
        </w:rPr>
        <w:t>2019年度需国家补贴的新建集中式风电项目全部通过竞争配置方式选择。有关省级能源主管部门按照本文附件中的指导方案制定2019年度风电项目竞争配置工作方案，向社会公布。在国家能源局公布2019年度第一批平价上网风电项目名单之后，有关省级能源主管部门再组织有国家补贴的风电项目的竞争配置工作。各跨省跨区输电通道配套的风电基地项目，项目所在地省级能源主管部门应制定专项竞争配置工作方案，优先选择补贴强度低的项目业主，或直接按平价上网项目（无国家补贴）组织建设。</w:t>
      </w:r>
    </w:p>
    <w:p>
      <w:pPr>
        <w:pStyle w:val="22"/>
        <w:overflowPunct w:val="0"/>
      </w:pPr>
      <w:r>
        <w:rPr>
          <w:rStyle w:val="16"/>
          <w:rFonts w:hint="eastAsia"/>
        </w:rPr>
        <w:t>（二）采取多种方式支持分散式风电建设。</w:t>
      </w:r>
      <w:r>
        <w:rPr>
          <w:rFonts w:hint="eastAsia"/>
        </w:rPr>
        <w:t>鼓励各省（区、市）按照《国家发展改革委 国家能源局关于积极推进风电、光伏发电无补贴平价上网有关工作的通知》（发改能源〔2019〕19号）有关政策，创新发展方式，积极推动分散式风电参与分布式发电市场化交易试点。对不参与分布式发电市场化交易试点的分散式风电项目，可不参与竞争性配置，按有关管理和技术要求由地方政府能源主管部门核准建设。</w:t>
      </w:r>
    </w:p>
    <w:p>
      <w:pPr>
        <w:pStyle w:val="2"/>
        <w:overflowPunct w:val="0"/>
      </w:pPr>
      <w:r>
        <w:rPr>
          <w:rFonts w:hint="eastAsia"/>
        </w:rPr>
        <w:t>三、严格竞争配置要求</w:t>
      </w:r>
    </w:p>
    <w:p>
      <w:pPr>
        <w:pStyle w:val="3"/>
        <w:overflowPunct w:val="0"/>
      </w:pPr>
      <w:r>
        <w:rPr>
          <w:rFonts w:hint="eastAsia"/>
        </w:rPr>
        <w:t>（一）竞争配置方式选择</w:t>
      </w:r>
    </w:p>
    <w:p>
      <w:pPr>
        <w:pStyle w:val="22"/>
        <w:overflowPunct w:val="0"/>
      </w:pPr>
      <w:r>
        <w:rPr>
          <w:rFonts w:hint="eastAsia"/>
        </w:rPr>
        <w:t>1. 第一种方式。风电项目开发前期工作已由开发企业自行完成，省级能源主管部门按照竞争配置工作方案择优选择列入年度建设方案的项目。各开发企业参与竞争配置的风电项目应满足前期工作深度要求。</w:t>
      </w:r>
    </w:p>
    <w:p>
      <w:pPr>
        <w:pStyle w:val="22"/>
        <w:overflowPunct w:val="0"/>
      </w:pPr>
      <w:r>
        <w:rPr>
          <w:rFonts w:hint="eastAsia"/>
        </w:rPr>
        <w:t>2. 第二种方式。省级能源主管部门和省级以下地方政府已委托第三方技术机构开展资源勘查等前期工作，确定计划开发的区块，在已落实项目土地使用和电力送出及消纳等外部条件下，通过竞争配置选择投资开发企业。</w:t>
      </w:r>
    </w:p>
    <w:p>
      <w:pPr>
        <w:pStyle w:val="3"/>
        <w:overflowPunct w:val="0"/>
      </w:pPr>
      <w:r>
        <w:rPr>
          <w:rFonts w:hint="eastAsia"/>
        </w:rPr>
        <w:t>（二）竞争配置建设方案相关要求</w:t>
      </w:r>
    </w:p>
    <w:p>
      <w:pPr>
        <w:pStyle w:val="22"/>
        <w:overflowPunct w:val="0"/>
      </w:pPr>
      <w:r>
        <w:rPr>
          <w:rFonts w:hint="eastAsia"/>
        </w:rPr>
        <w:t>各省级能源主管部门应根据国务院价格部门发布的本区域风电指导价作为竞争配置上网电价上限（不得设置电价下限），并编制2019年度风电建设方案。建设方案应包括新增建设规模及布局、竞争配置工作方案，电网企业出具的确保电力送出消纳意见等内容。各省级能源主管部门按照建设方案组织风电项目竞争配置工作，并将建设方案抄送国家能源局及各派出能源监管机构。国家能源局对有关建设方案进行监督，对不符合规划落实情况和公平竞争原则以及电力送出消纳条件不落实的建设方案提出整改意见。</w:t>
      </w:r>
    </w:p>
    <w:p>
      <w:pPr>
        <w:pStyle w:val="2"/>
        <w:overflowPunct w:val="0"/>
      </w:pPr>
      <w:r>
        <w:rPr>
          <w:rFonts w:hint="eastAsia"/>
        </w:rPr>
        <w:t>四、全面落实项目电力送出和消纳条件</w:t>
      </w:r>
    </w:p>
    <w:p>
      <w:pPr>
        <w:pStyle w:val="22"/>
        <w:overflowPunct w:val="0"/>
      </w:pPr>
      <w:r>
        <w:rPr>
          <w:rFonts w:hint="eastAsia"/>
        </w:rPr>
        <w:t>（一）已纳入年度建设方案的存量项目，有关电网企业应在落实电力送出和消纳并确保弃风限电持续改善的前提下积极落实并网。对自愿转为平价上网的存量项目，电网企业在建设配套电力送出工程的进度安排和消纳方面予以优先保障。</w:t>
      </w:r>
    </w:p>
    <w:p>
      <w:pPr>
        <w:pStyle w:val="22"/>
        <w:overflowPunct w:val="0"/>
      </w:pPr>
      <w:r>
        <w:rPr>
          <w:rFonts w:hint="eastAsia"/>
        </w:rPr>
        <w:t>（二）各类拟新建风电项目均应以落实项目电力送出和确保达到最低保障收购年利用小时数（或弃风率不超过5%）为前提条件。在满足已并网和已核准在有效期内并承诺建设风电项目电力消纳基础上，按照平价上网风电项目、分散式风电项目、需国家补贴的竞争性配置风电项目的次序配置电网消纳能力。</w:t>
      </w:r>
    </w:p>
    <w:p>
      <w:pPr>
        <w:pStyle w:val="2"/>
        <w:overflowPunct w:val="0"/>
      </w:pPr>
      <w:r>
        <w:rPr>
          <w:rFonts w:hint="eastAsia"/>
        </w:rPr>
        <w:t>五、分类指导存量项目建设</w:t>
      </w:r>
    </w:p>
    <w:p>
      <w:pPr>
        <w:pStyle w:val="22"/>
        <w:overflowPunct w:val="0"/>
      </w:pPr>
      <w:r>
        <w:rPr>
          <w:rFonts w:hint="eastAsia"/>
        </w:rPr>
        <w:t>各省级能源主管部门要对已核准风电项目进行梳理，建立项目信息管理台账，分类指导建设。</w:t>
      </w:r>
    </w:p>
    <w:p>
      <w:pPr>
        <w:pStyle w:val="22"/>
        <w:overflowPunct w:val="0"/>
      </w:pPr>
      <w:r>
        <w:rPr>
          <w:rFonts w:hint="eastAsia"/>
        </w:rPr>
        <w:t>（一）超出《企业投资项目核准和备案管理办法》中规定的项目核准文件有效期限的，相关项目核准文件失效。如项目单位希望继续建设，可作为新项目参与本年度新建项目竞争配置，也可转为平价上网项目。</w:t>
      </w:r>
    </w:p>
    <w:p>
      <w:pPr>
        <w:pStyle w:val="22"/>
        <w:overflowPunct w:val="0"/>
      </w:pPr>
      <w:r>
        <w:rPr>
          <w:rFonts w:hint="eastAsia"/>
        </w:rPr>
        <w:t>（二）符合国家风电建设管理要求且在项目核准有效期内的风电项目，执行国家有关价格政策。</w:t>
      </w:r>
    </w:p>
    <w:p>
      <w:pPr>
        <w:pStyle w:val="22"/>
        <w:overflowPunct w:val="0"/>
      </w:pPr>
      <w:r>
        <w:rPr>
          <w:rFonts w:hint="eastAsia"/>
        </w:rPr>
        <w:t>（三）鼓励各类在核准有效期内的风电项目自愿转为平价上网项目，执行有关平价上网项目的支持政策。</w:t>
      </w:r>
    </w:p>
    <w:p>
      <w:pPr>
        <w:pStyle w:val="22"/>
        <w:overflowPunct w:val="0"/>
      </w:pPr>
      <w:r>
        <w:rPr>
          <w:rFonts w:hint="eastAsia"/>
        </w:rPr>
        <w:t>（四）风电投资监测预警级别从红色转为橙色或绿色的地区，严格按电网消纳能力有序启动之前因预警停建项目，鼓励自愿转为平价上网项目。</w:t>
      </w:r>
    </w:p>
    <w:p>
      <w:pPr>
        <w:pStyle w:val="2"/>
        <w:overflowPunct w:val="0"/>
      </w:pPr>
      <w:r>
        <w:rPr>
          <w:rFonts w:hint="eastAsia"/>
        </w:rPr>
        <w:t>六、有序稳妥推进海上风电项目建设</w:t>
      </w:r>
    </w:p>
    <w:p>
      <w:pPr>
        <w:pStyle w:val="22"/>
        <w:overflowPunct w:val="0"/>
      </w:pPr>
      <w:r>
        <w:rPr>
          <w:rFonts w:hint="eastAsia"/>
        </w:rPr>
        <w:t>2019年起新增的海上风电项目必须通过竞争配置确定项目业主单位，各相关省级能源主管部门应按照加快推动技术进步和成本下降的原则制定专门的海上风电项目竞争配置工作方案。依法依规核准的海上风电项目执行国家有关电价政策。</w:t>
      </w:r>
    </w:p>
    <w:p>
      <w:pPr>
        <w:pStyle w:val="22"/>
        <w:overflowPunct w:val="0"/>
      </w:pPr>
      <w:r>
        <w:rPr>
          <w:rFonts w:hint="eastAsia"/>
        </w:rPr>
        <w:t>为进一步规范海上风电发展，有关省级能源主管部门依据国家《风电发展“十三五”规划》和国家能源局批复的本省级区域的海上风电规划组织海上风电项目建设，按照上述规划中明确的本区域2020年建成并网目标和在建规模对本省（区、市）2018年底前已核准海上风电项目进行梳理，由项目开发企业承诺开工及全部机组完成并网的时间，在此基础上梳理出2020年底前可建成并网的海上风电项目、2020年底前可开工建设的海上风电项目以及2021年底前可建成并网的海上风电项目，三类项目清单及相关企业承诺应及时对全社会公示。对核准前置条件不齐全的海上风电项目，核准文件由项目核准机关依法予以撤销，有关项目信息抄送国家能源局及相关派出能源监管机构。</w:t>
      </w:r>
    </w:p>
    <w:p>
      <w:pPr>
        <w:pStyle w:val="2"/>
        <w:overflowPunct w:val="0"/>
      </w:pPr>
      <w:r>
        <w:rPr>
          <w:rFonts w:hint="eastAsia"/>
        </w:rPr>
        <w:t>七、强化承诺条件核实</w:t>
      </w:r>
    </w:p>
    <w:p>
      <w:pPr>
        <w:pStyle w:val="22"/>
        <w:overflowPunct w:val="0"/>
      </w:pPr>
      <w:r>
        <w:rPr>
          <w:rFonts w:hint="eastAsia"/>
        </w:rPr>
        <w:t>（一）各省级能源主管部门对各参与竞争配置的风电项目以及平价上网项目的相关土地使用等降低非技术成本的承诺或说明进行复核，并及时对全社会公示实际执行情况，将其作为后续安排新增风电建设规模的重要依据。</w:t>
      </w:r>
    </w:p>
    <w:p>
      <w:pPr>
        <w:pStyle w:val="22"/>
        <w:overflowPunct w:val="0"/>
      </w:pPr>
      <w:r>
        <w:rPr>
          <w:rFonts w:hint="eastAsia"/>
        </w:rPr>
        <w:t>（二）各省级能源主管部门对有关省级电网企业或地方电网企业经论证确认的拟新建风电项目具备电力送出和消纳条件的意见进行复核。电网企业可按单个项目或者本批次项目整体出具意见。</w:t>
      </w:r>
    </w:p>
    <w:p>
      <w:pPr>
        <w:pStyle w:val="2"/>
        <w:overflowPunct w:val="0"/>
      </w:pPr>
      <w:r>
        <w:rPr>
          <w:rFonts w:hint="eastAsia"/>
        </w:rPr>
        <w:t>八、做好风电项目建设信息监测工作</w:t>
      </w:r>
    </w:p>
    <w:p>
      <w:pPr>
        <w:pStyle w:val="22"/>
        <w:overflowPunct w:val="0"/>
      </w:pPr>
      <w:r>
        <w:rPr>
          <w:rFonts w:hint="eastAsia"/>
        </w:rPr>
        <w:t>请各省级能源主管部门及时组织各项目单位按照以下要求，按时在可再生能源发电项目信息管理平台填报以下项目信息：</w:t>
      </w:r>
    </w:p>
    <w:p>
      <w:pPr>
        <w:pStyle w:val="22"/>
        <w:overflowPunct w:val="0"/>
      </w:pPr>
      <w:r>
        <w:rPr>
          <w:rFonts w:hint="eastAsia"/>
        </w:rPr>
        <w:t>（一）已核准风电项目须提交项目核准文件、列入本省（区、市）年度建设方案的依据等文件的扫描件，并按照项目信息管理相关规定完善各项信息。逾期未完成填报项目视为自动放弃申请国家补贴。</w:t>
      </w:r>
    </w:p>
    <w:p>
      <w:pPr>
        <w:pStyle w:val="22"/>
        <w:overflowPunct w:val="0"/>
      </w:pPr>
      <w:r>
        <w:rPr>
          <w:rFonts w:hint="eastAsia"/>
        </w:rPr>
        <w:t>（二）所有新核准建设的风电项目均应在项目申请时及时填报项目信息，标明项目的分类并提交相关附件。国家可再生能源信息管理中心与电网企业的新能源项目相关管理系统做好衔接，及时采集风电核准、并网、运行、补贴拨付等信息。</w:t>
      </w:r>
    </w:p>
    <w:p>
      <w:pPr>
        <w:pStyle w:val="22"/>
        <w:overflowPunct w:val="0"/>
      </w:pPr>
      <w:r>
        <w:rPr>
          <w:rFonts w:hint="eastAsia"/>
        </w:rPr>
        <w:t>各省级能源主管部门应在2019年7月1日（含）前完成已核准建设的风电项目的信息审核工作。对于因相关信息填报错误、填报不及时导致不能纳入补贴目录及获得电价附加补贴的，由项目单位自行承担相关后果。</w:t>
      </w:r>
    </w:p>
    <w:p>
      <w:pPr>
        <w:pStyle w:val="22"/>
        <w:overflowPunct w:val="0"/>
      </w:pPr>
      <w:r>
        <w:rPr>
          <w:rFonts w:hint="eastAsia"/>
        </w:rPr>
        <w:t>请各有关单位按照上述要求，切实做好相关工作，尽快组织风电竞争性配置工作，积极推动风电项目建设工作，确保风电产业持续健康发展。各派出能源监管机构要加强对监管区域内电力送出和消纳条件、补贴项目竞争配置和投资营商环境等事项的监管。</w:t>
      </w:r>
    </w:p>
    <w:p>
      <w:pPr>
        <w:pStyle w:val="22"/>
        <w:overflowPunct w:val="0"/>
      </w:pPr>
    </w:p>
    <w:p>
      <w:pPr>
        <w:pStyle w:val="22"/>
        <w:overflowPunct w:val="0"/>
        <w:rPr>
          <w:rFonts w:eastAsia="黑体" w:cs="Calibri"/>
          <w:color w:val="000000"/>
          <w:szCs w:val="30"/>
        </w:rPr>
      </w:pPr>
      <w:r>
        <w:rPr>
          <w:rFonts w:hint="eastAsia"/>
        </w:rPr>
        <w:t>附件：风电项目竞争配置指导方案（2019年版）</w:t>
      </w:r>
    </w:p>
    <w:p>
      <w:pPr>
        <w:widowControl/>
        <w:overflowPunct w:val="0"/>
        <w:spacing w:line="240" w:lineRule="auto"/>
        <w:jc w:val="left"/>
        <w:textAlignment w:val="auto"/>
        <w:rPr>
          <w:rFonts w:eastAsia="黑体" w:cs="Calibri"/>
          <w:color w:val="000000"/>
          <w:szCs w:val="30"/>
        </w:rPr>
      </w:pPr>
      <w:r>
        <w:rPr>
          <w:rFonts w:eastAsia="黑体" w:cs="Calibri"/>
          <w:color w:val="000000"/>
          <w:szCs w:val="30"/>
        </w:rPr>
        <w:br w:type="page"/>
      </w:r>
    </w:p>
    <w:p>
      <w:pPr>
        <w:overflowPunct w:val="0"/>
        <w:rPr>
          <w:rFonts w:eastAsia="方正黑体_GBK"/>
          <w:szCs w:val="30"/>
        </w:rPr>
      </w:pPr>
      <w:r>
        <w:rPr>
          <w:rFonts w:hint="eastAsia" w:eastAsia="方正黑体_GBK"/>
          <w:szCs w:val="30"/>
        </w:rPr>
        <w:t>附件</w:t>
      </w:r>
    </w:p>
    <w:p>
      <w:pPr>
        <w:overflowPunct w:val="0"/>
        <w:jc w:val="center"/>
        <w:rPr>
          <w:color w:val="FF0000"/>
        </w:rPr>
      </w:pPr>
    </w:p>
    <w:p>
      <w:pPr>
        <w:pStyle w:val="10"/>
        <w:overflowPunct w:val="0"/>
        <w:rPr>
          <w:rFonts w:ascii="Times New Roman"/>
        </w:rPr>
      </w:pPr>
      <w:r>
        <w:rPr>
          <w:rFonts w:hint="eastAsia" w:ascii="Times New Roman"/>
        </w:rPr>
        <w:t>风电项目竞争配置指导方案（</w:t>
      </w:r>
      <w:r>
        <w:rPr>
          <w:rFonts w:ascii="Times New Roman"/>
        </w:rPr>
        <w:t>2019</w:t>
      </w:r>
      <w:r>
        <w:rPr>
          <w:rFonts w:hint="eastAsia" w:ascii="Times New Roman"/>
        </w:rPr>
        <w:t>年版）</w:t>
      </w:r>
    </w:p>
    <w:p>
      <w:pPr>
        <w:overflowPunct w:val="0"/>
        <w:ind w:firstLine="640" w:firstLineChars="200"/>
        <w:jc w:val="left"/>
        <w:rPr>
          <w:rFonts w:eastAsia="仿宋_GB2312"/>
          <w:sz w:val="32"/>
          <w:szCs w:val="32"/>
        </w:rPr>
      </w:pPr>
    </w:p>
    <w:p>
      <w:pPr>
        <w:pStyle w:val="22"/>
        <w:overflowPunct w:val="0"/>
      </w:pPr>
      <w:r>
        <w:rPr>
          <w:rFonts w:hint="eastAsia"/>
        </w:rPr>
        <w:t>为促进风电有序规范建设，加快风电技术进步、产业升级和市场化发展，按照市场在资源配置中发挥决定性作用和更好发挥政府作用的总要求，对集中式陆上风电项目和海上风电项目通过竞争配置方式组织建设。</w:t>
      </w:r>
    </w:p>
    <w:p>
      <w:pPr>
        <w:pStyle w:val="2"/>
        <w:overflowPunct w:val="0"/>
      </w:pPr>
      <w:r>
        <w:rPr>
          <w:rFonts w:hint="eastAsia"/>
        </w:rPr>
        <w:t>一、基本原则</w:t>
      </w:r>
    </w:p>
    <w:p>
      <w:pPr>
        <w:pStyle w:val="22"/>
        <w:overflowPunct w:val="0"/>
      </w:pPr>
      <w:r>
        <w:rPr>
          <w:rStyle w:val="16"/>
          <w:rFonts w:hint="eastAsia"/>
        </w:rPr>
        <w:t>（一）规划总量控制。</w:t>
      </w:r>
      <w:r>
        <w:rPr>
          <w:rFonts w:hint="eastAsia"/>
        </w:rPr>
        <w:t>各省级能源主管部门要严格按照《风电发展“十三五”规划》和《国家能源局关于可再生能源发展“十三五”规划实施的指导意见》的管理要求，有序规范组织项目建设。各沿海省（区、市）应根据《风电发展“十三五”规划》和国家能源局审定批复的海上风电规划，合理确定2019年度海上风电配置规模。</w:t>
      </w:r>
    </w:p>
    <w:p>
      <w:pPr>
        <w:pStyle w:val="22"/>
        <w:overflowPunct w:val="0"/>
      </w:pPr>
      <w:r>
        <w:rPr>
          <w:rStyle w:val="16"/>
          <w:rFonts w:hint="eastAsia"/>
        </w:rPr>
        <w:t>（二）公开竞争优选。</w:t>
      </w:r>
      <w:r>
        <w:rPr>
          <w:rFonts w:hint="eastAsia"/>
        </w:rPr>
        <w:t>各省级能源主管部门要制定风电项目竞争配置工作方案，公开竞争配置条件和流程，按照公开公平公正的原则对纳入国家补贴范围的项目或投资进行优选（或招标）。</w:t>
      </w:r>
    </w:p>
    <w:p>
      <w:pPr>
        <w:pStyle w:val="22"/>
        <w:overflowPunct w:val="0"/>
      </w:pPr>
      <w:r>
        <w:rPr>
          <w:rStyle w:val="16"/>
          <w:rFonts w:hint="eastAsia"/>
        </w:rPr>
        <w:t>（三）接网及消纳保障。</w:t>
      </w:r>
      <w:r>
        <w:rPr>
          <w:rFonts w:hint="eastAsia"/>
        </w:rPr>
        <w:t>所有参与竞争配置的项目须以电网企业投资建设接网及配套电网工程和落实消纳为前提条件，确保项目建成后达到最低保障收购年利用小时数（或弃风率不超过5%）。电网企业有关电力送出和消纳支持承诺应向社会公布，接受社会监督。</w:t>
      </w:r>
    </w:p>
    <w:p>
      <w:pPr>
        <w:pStyle w:val="22"/>
        <w:overflowPunct w:val="0"/>
      </w:pPr>
      <w:r>
        <w:rPr>
          <w:rStyle w:val="16"/>
          <w:rFonts w:hint="eastAsia"/>
        </w:rPr>
        <w:t>（四）竞争确定电价。</w:t>
      </w:r>
      <w:r>
        <w:rPr>
          <w:rFonts w:hint="eastAsia"/>
        </w:rPr>
        <w:t>2019年度新增集中式陆上风电和海上风电项目全部通过竞争方式配置并确定上网电价，各项目申报的上网电价不得高于国家规定的同类资源区指导价，同时不得设置竞争最低限价。各级地方政府部门不得干预项目单位报价。</w:t>
      </w:r>
    </w:p>
    <w:p>
      <w:pPr>
        <w:pStyle w:val="22"/>
        <w:overflowPunct w:val="0"/>
      </w:pPr>
      <w:r>
        <w:rPr>
          <w:rStyle w:val="16"/>
          <w:rFonts w:hint="eastAsia"/>
        </w:rPr>
        <w:t>（五）优化投资环境。</w:t>
      </w:r>
      <w:r>
        <w:rPr>
          <w:rFonts w:hint="eastAsia"/>
        </w:rPr>
        <w:t>省级能源主管部门要指导市（县）级政府优化投资环境。地方政府有关部门不得以资源出让、企业援建和捐赠等名义变相向企业收费，增加项目投资经营成本，相关政策落实的承诺等情况应向社会公布，接受社会监督。</w:t>
      </w:r>
    </w:p>
    <w:p>
      <w:pPr>
        <w:pStyle w:val="2"/>
        <w:overflowPunct w:val="0"/>
      </w:pPr>
      <w:r>
        <w:rPr>
          <w:rFonts w:hint="eastAsia"/>
        </w:rPr>
        <w:t>二、竞争要素</w:t>
      </w:r>
    </w:p>
    <w:p>
      <w:pPr>
        <w:pStyle w:val="22"/>
        <w:overflowPunct w:val="0"/>
      </w:pPr>
      <w:r>
        <w:rPr>
          <w:rFonts w:hint="eastAsia"/>
        </w:rPr>
        <w:t>各省级能源主管部门制定的竞争配置工作方案应包含项目方案及技术先进性、前期工作深度、上网电价等竞争要素。应将上网电价作为重要竞争条件，所需补贴强度低的项目优先列入年度建设方案。</w:t>
      </w:r>
    </w:p>
    <w:p>
      <w:pPr>
        <w:pStyle w:val="3"/>
        <w:overflowPunct w:val="0"/>
      </w:pPr>
      <w:r>
        <w:rPr>
          <w:rFonts w:hint="eastAsia"/>
        </w:rPr>
        <w:t>（一）已确定投资主体项目的竞争要素</w:t>
      </w:r>
    </w:p>
    <w:p>
      <w:pPr>
        <w:pStyle w:val="22"/>
        <w:overflowPunct w:val="0"/>
      </w:pPr>
      <w:r>
        <w:rPr>
          <w:rFonts w:hint="eastAsia"/>
        </w:rPr>
        <w:t>1.企业能力。包括投资能力、业绩、技术能力、企业诚信履约情况评价。</w:t>
      </w:r>
    </w:p>
    <w:p>
      <w:pPr>
        <w:pStyle w:val="22"/>
        <w:overflowPunct w:val="0"/>
      </w:pPr>
      <w:r>
        <w:rPr>
          <w:rFonts w:hint="eastAsia"/>
        </w:rPr>
        <w:t>2.设备先进性。包括风电机组选型、风能利用系数、动态功率曲线保障、风电机组认证情况。</w:t>
      </w:r>
    </w:p>
    <w:p>
      <w:pPr>
        <w:pStyle w:val="22"/>
        <w:overflowPunct w:val="0"/>
      </w:pPr>
      <w:r>
        <w:rPr>
          <w:rFonts w:hint="eastAsia"/>
        </w:rPr>
        <w:t>3.技术方案。包括充分利用资源条件、优化技术方案、利用小时测算、智能化控制运行维护、退役及拆除方案、经济合理性等。</w:t>
      </w:r>
    </w:p>
    <w:p>
      <w:pPr>
        <w:pStyle w:val="22"/>
        <w:overflowPunct w:val="0"/>
      </w:pPr>
      <w:r>
        <w:rPr>
          <w:rFonts w:hint="eastAsia"/>
        </w:rPr>
        <w:t>4.已开展前期工作。包括项目总体规划、测风及风能资源评估、可行性研究设计、已取得的支持性文件等。</w:t>
      </w:r>
    </w:p>
    <w:p>
      <w:pPr>
        <w:pStyle w:val="22"/>
        <w:overflowPunct w:val="0"/>
      </w:pPr>
      <w:r>
        <w:rPr>
          <w:rFonts w:hint="eastAsia"/>
        </w:rPr>
        <w:t>5.接入消纳条件。委托电网企业开展接入系统和消纳能力分析结果。</w:t>
      </w:r>
    </w:p>
    <w:p>
      <w:pPr>
        <w:pStyle w:val="22"/>
        <w:overflowPunct w:val="0"/>
      </w:pPr>
      <w:r>
        <w:rPr>
          <w:rFonts w:hint="eastAsia"/>
        </w:rPr>
        <w:t>6.申报电价。测算提出合理收益条件下的20年固定上网电价。国家核定最低保障小时数的地区，可按照国家最低保障小时数报价，超出部分市场定价，按最低保障小时数内电价评分。</w:t>
      </w:r>
    </w:p>
    <w:p>
      <w:pPr>
        <w:pStyle w:val="22"/>
        <w:overflowPunct w:val="0"/>
      </w:pPr>
      <w:r>
        <w:rPr>
          <w:rFonts w:hint="eastAsia"/>
        </w:rPr>
        <w:t>各省级能源主管部门可参照表1自行制定竞争配置评分细则，但不应设置或变相设置有违市场公平的条款。可采取综合评分法，其中电价权重不得低于40%。也可采取先技术评选，再电价比选的方式，按电价由低到高排序分配完为止。</w:t>
      </w:r>
    </w:p>
    <w:p>
      <w:pPr>
        <w:keepNext/>
        <w:overflowPunct w:val="0"/>
        <w:jc w:val="center"/>
      </w:pPr>
      <w:r>
        <w:rPr>
          <w:rFonts w:hint="eastAsia"/>
        </w:rPr>
        <w:t>表</w:t>
      </w:r>
      <w:r>
        <w:t xml:space="preserve">1 </w:t>
      </w:r>
      <w:r>
        <w:rPr>
          <w:rFonts w:hint="eastAsia"/>
        </w:rPr>
        <w:t>已确定投资主体风电项目参考评分标准</w:t>
      </w:r>
    </w:p>
    <w:tbl>
      <w:tblPr>
        <w:tblStyle w:val="12"/>
        <w:tblW w:w="859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
        <w:gridCol w:w="1130"/>
        <w:gridCol w:w="1129"/>
        <w:gridCol w:w="1129"/>
        <w:gridCol w:w="43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blHeader/>
          <w:jc w:val="center"/>
        </w:trPr>
        <w:tc>
          <w:tcPr>
            <w:tcW w:w="838" w:type="dxa"/>
            <w:vAlign w:val="center"/>
          </w:tcPr>
          <w:p>
            <w:pPr>
              <w:widowControl/>
              <w:overflowPunct w:val="0"/>
              <w:adjustRightInd w:val="0"/>
              <w:snapToGrid w:val="0"/>
              <w:spacing w:line="240" w:lineRule="auto"/>
              <w:jc w:val="center"/>
              <w:rPr>
                <w:color w:val="000000"/>
                <w:kern w:val="0"/>
                <w:sz w:val="24"/>
                <w:szCs w:val="24"/>
              </w:rPr>
            </w:pPr>
            <w:r>
              <w:rPr>
                <w:rFonts w:hint="eastAsia"/>
                <w:color w:val="000000"/>
                <w:kern w:val="0"/>
                <w:sz w:val="24"/>
                <w:szCs w:val="24"/>
              </w:rPr>
              <w:t>序号</w:t>
            </w:r>
          </w:p>
        </w:tc>
        <w:tc>
          <w:tcPr>
            <w:tcW w:w="1130" w:type="dxa"/>
            <w:vAlign w:val="center"/>
          </w:tcPr>
          <w:p>
            <w:pPr>
              <w:widowControl/>
              <w:overflowPunct w:val="0"/>
              <w:adjustRightInd w:val="0"/>
              <w:snapToGrid w:val="0"/>
              <w:spacing w:line="240" w:lineRule="auto"/>
              <w:jc w:val="center"/>
              <w:rPr>
                <w:color w:val="000000"/>
                <w:kern w:val="0"/>
                <w:sz w:val="24"/>
                <w:szCs w:val="24"/>
              </w:rPr>
            </w:pPr>
            <w:r>
              <w:rPr>
                <w:rFonts w:hint="eastAsia"/>
                <w:color w:val="000000"/>
                <w:kern w:val="0"/>
                <w:sz w:val="24"/>
                <w:szCs w:val="24"/>
              </w:rPr>
              <w:t>项目</w:t>
            </w:r>
          </w:p>
        </w:tc>
        <w:tc>
          <w:tcPr>
            <w:tcW w:w="1129" w:type="dxa"/>
            <w:vAlign w:val="center"/>
          </w:tcPr>
          <w:p>
            <w:pPr>
              <w:widowControl/>
              <w:overflowPunct w:val="0"/>
              <w:adjustRightInd w:val="0"/>
              <w:snapToGrid w:val="0"/>
              <w:spacing w:line="240" w:lineRule="auto"/>
              <w:jc w:val="center"/>
              <w:rPr>
                <w:color w:val="000000"/>
                <w:kern w:val="0"/>
                <w:sz w:val="24"/>
                <w:szCs w:val="24"/>
              </w:rPr>
            </w:pPr>
            <w:r>
              <w:rPr>
                <w:rFonts w:hint="eastAsia"/>
                <w:color w:val="000000"/>
                <w:kern w:val="0"/>
                <w:sz w:val="24"/>
                <w:szCs w:val="24"/>
              </w:rPr>
              <w:t>内容</w:t>
            </w:r>
          </w:p>
        </w:tc>
        <w:tc>
          <w:tcPr>
            <w:tcW w:w="1129" w:type="dxa"/>
            <w:vAlign w:val="center"/>
          </w:tcPr>
          <w:p>
            <w:pPr>
              <w:widowControl/>
              <w:overflowPunct w:val="0"/>
              <w:adjustRightInd w:val="0"/>
              <w:snapToGrid w:val="0"/>
              <w:spacing w:line="240" w:lineRule="auto"/>
              <w:jc w:val="center"/>
              <w:rPr>
                <w:color w:val="000000"/>
                <w:kern w:val="0"/>
                <w:sz w:val="24"/>
                <w:szCs w:val="24"/>
              </w:rPr>
            </w:pPr>
            <w:r>
              <w:rPr>
                <w:rFonts w:hint="eastAsia"/>
                <w:color w:val="000000"/>
                <w:kern w:val="0"/>
                <w:sz w:val="24"/>
                <w:szCs w:val="24"/>
              </w:rPr>
              <w:t>分值</w:t>
            </w:r>
          </w:p>
        </w:tc>
        <w:tc>
          <w:tcPr>
            <w:tcW w:w="4372" w:type="dxa"/>
            <w:vAlign w:val="center"/>
          </w:tcPr>
          <w:p>
            <w:pPr>
              <w:widowControl/>
              <w:overflowPunct w:val="0"/>
              <w:adjustRightInd w:val="0"/>
              <w:snapToGrid w:val="0"/>
              <w:spacing w:line="240" w:lineRule="auto"/>
              <w:jc w:val="center"/>
              <w:rPr>
                <w:color w:val="000000"/>
                <w:kern w:val="0"/>
                <w:sz w:val="24"/>
                <w:szCs w:val="24"/>
              </w:rPr>
            </w:pPr>
            <w:r>
              <w:rPr>
                <w:rFonts w:hint="eastAsia"/>
                <w:color w:val="000000"/>
                <w:kern w:val="0"/>
                <w:sz w:val="24"/>
                <w:szCs w:val="24"/>
              </w:rPr>
              <w:t>评分内容参考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4" w:hRule="atLeast"/>
          <w:jc w:val="center"/>
        </w:trPr>
        <w:tc>
          <w:tcPr>
            <w:tcW w:w="838" w:type="dxa"/>
            <w:vMerge w:val="restart"/>
            <w:vAlign w:val="center"/>
          </w:tcPr>
          <w:p>
            <w:pPr>
              <w:widowControl/>
              <w:overflowPunct w:val="0"/>
              <w:adjustRightInd w:val="0"/>
              <w:snapToGrid w:val="0"/>
              <w:spacing w:line="240" w:lineRule="auto"/>
              <w:jc w:val="center"/>
              <w:rPr>
                <w:color w:val="000000"/>
                <w:kern w:val="0"/>
                <w:sz w:val="24"/>
                <w:szCs w:val="24"/>
              </w:rPr>
            </w:pPr>
            <w:r>
              <w:rPr>
                <w:color w:val="000000"/>
                <w:kern w:val="0"/>
                <w:sz w:val="24"/>
                <w:szCs w:val="24"/>
              </w:rPr>
              <w:t>1</w:t>
            </w:r>
          </w:p>
        </w:tc>
        <w:tc>
          <w:tcPr>
            <w:tcW w:w="1130" w:type="dxa"/>
            <w:vMerge w:val="restart"/>
            <w:vAlign w:val="center"/>
          </w:tcPr>
          <w:p>
            <w:pPr>
              <w:widowControl/>
              <w:overflowPunct w:val="0"/>
              <w:adjustRightInd w:val="0"/>
              <w:snapToGrid w:val="0"/>
              <w:spacing w:line="240" w:lineRule="auto"/>
              <w:jc w:val="center"/>
              <w:rPr>
                <w:color w:val="000000"/>
                <w:kern w:val="0"/>
                <w:sz w:val="24"/>
                <w:szCs w:val="24"/>
              </w:rPr>
            </w:pPr>
            <w:r>
              <w:rPr>
                <w:rFonts w:hint="eastAsia"/>
                <w:color w:val="000000"/>
                <w:kern w:val="0"/>
                <w:sz w:val="24"/>
                <w:szCs w:val="24"/>
              </w:rPr>
              <w:t>企业能力（20）</w:t>
            </w:r>
          </w:p>
        </w:tc>
        <w:tc>
          <w:tcPr>
            <w:tcW w:w="1129" w:type="dxa"/>
            <w:vAlign w:val="center"/>
          </w:tcPr>
          <w:p>
            <w:pPr>
              <w:widowControl/>
              <w:overflowPunct w:val="0"/>
              <w:adjustRightInd w:val="0"/>
              <w:snapToGrid w:val="0"/>
              <w:spacing w:line="240" w:lineRule="auto"/>
              <w:jc w:val="center"/>
              <w:rPr>
                <w:color w:val="000000"/>
                <w:kern w:val="0"/>
                <w:sz w:val="24"/>
                <w:szCs w:val="24"/>
              </w:rPr>
            </w:pPr>
            <w:r>
              <w:rPr>
                <w:rFonts w:hint="eastAsia"/>
                <w:color w:val="000000"/>
                <w:kern w:val="0"/>
                <w:sz w:val="24"/>
                <w:szCs w:val="24"/>
              </w:rPr>
              <w:t>投资能力</w:t>
            </w:r>
          </w:p>
        </w:tc>
        <w:tc>
          <w:tcPr>
            <w:tcW w:w="1129" w:type="dxa"/>
            <w:vAlign w:val="center"/>
          </w:tcPr>
          <w:p>
            <w:pPr>
              <w:widowControl/>
              <w:overflowPunct w:val="0"/>
              <w:adjustRightInd w:val="0"/>
              <w:snapToGrid w:val="0"/>
              <w:spacing w:line="240" w:lineRule="auto"/>
              <w:jc w:val="center"/>
              <w:rPr>
                <w:color w:val="000000"/>
                <w:kern w:val="0"/>
                <w:sz w:val="24"/>
                <w:szCs w:val="24"/>
              </w:rPr>
            </w:pPr>
            <w:r>
              <w:rPr>
                <w:rFonts w:hint="eastAsia"/>
                <w:color w:val="000000"/>
                <w:kern w:val="0"/>
                <w:sz w:val="24"/>
                <w:szCs w:val="24"/>
              </w:rPr>
              <w:t>自定</w:t>
            </w:r>
          </w:p>
        </w:tc>
        <w:tc>
          <w:tcPr>
            <w:tcW w:w="4372" w:type="dxa"/>
            <w:vAlign w:val="center"/>
          </w:tcPr>
          <w:p>
            <w:pPr>
              <w:widowControl/>
              <w:overflowPunct w:val="0"/>
              <w:adjustRightInd w:val="0"/>
              <w:snapToGrid w:val="0"/>
              <w:spacing w:line="240" w:lineRule="auto"/>
              <w:jc w:val="left"/>
              <w:rPr>
                <w:color w:val="000000"/>
                <w:kern w:val="0"/>
                <w:sz w:val="24"/>
                <w:szCs w:val="24"/>
              </w:rPr>
            </w:pPr>
            <w:r>
              <w:rPr>
                <w:rFonts w:hint="eastAsia"/>
                <w:color w:val="000000"/>
                <w:kern w:val="0"/>
                <w:sz w:val="24"/>
                <w:szCs w:val="24"/>
              </w:rPr>
              <w:t>申报项目资本金比例，投资企业总资产、企业净资产等。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6" w:hRule="atLeast"/>
          <w:jc w:val="center"/>
        </w:trPr>
        <w:tc>
          <w:tcPr>
            <w:tcW w:w="838" w:type="dxa"/>
            <w:vMerge w:val="continue"/>
            <w:vAlign w:val="center"/>
          </w:tcPr>
          <w:p>
            <w:pPr>
              <w:widowControl/>
              <w:overflowPunct w:val="0"/>
              <w:adjustRightInd w:val="0"/>
              <w:snapToGrid w:val="0"/>
              <w:spacing w:line="240" w:lineRule="auto"/>
              <w:jc w:val="left"/>
              <w:rPr>
                <w:color w:val="000000"/>
                <w:kern w:val="0"/>
                <w:sz w:val="24"/>
                <w:szCs w:val="24"/>
              </w:rPr>
            </w:pPr>
          </w:p>
        </w:tc>
        <w:tc>
          <w:tcPr>
            <w:tcW w:w="1130" w:type="dxa"/>
            <w:vMerge w:val="continue"/>
            <w:vAlign w:val="center"/>
          </w:tcPr>
          <w:p>
            <w:pPr>
              <w:widowControl/>
              <w:overflowPunct w:val="0"/>
              <w:adjustRightInd w:val="0"/>
              <w:snapToGrid w:val="0"/>
              <w:spacing w:line="240" w:lineRule="auto"/>
              <w:jc w:val="left"/>
              <w:rPr>
                <w:color w:val="000000"/>
                <w:kern w:val="0"/>
                <w:sz w:val="24"/>
                <w:szCs w:val="24"/>
              </w:rPr>
            </w:pPr>
          </w:p>
        </w:tc>
        <w:tc>
          <w:tcPr>
            <w:tcW w:w="1129" w:type="dxa"/>
            <w:vAlign w:val="center"/>
          </w:tcPr>
          <w:p>
            <w:pPr>
              <w:widowControl/>
              <w:overflowPunct w:val="0"/>
              <w:adjustRightInd w:val="0"/>
              <w:snapToGrid w:val="0"/>
              <w:spacing w:line="240" w:lineRule="auto"/>
              <w:jc w:val="center"/>
              <w:rPr>
                <w:color w:val="000000"/>
                <w:kern w:val="0"/>
                <w:sz w:val="24"/>
                <w:szCs w:val="24"/>
              </w:rPr>
            </w:pPr>
            <w:r>
              <w:rPr>
                <w:rFonts w:hint="eastAsia"/>
                <w:color w:val="000000"/>
                <w:kern w:val="0"/>
                <w:sz w:val="24"/>
                <w:szCs w:val="24"/>
              </w:rPr>
              <w:t>业绩</w:t>
            </w:r>
          </w:p>
        </w:tc>
        <w:tc>
          <w:tcPr>
            <w:tcW w:w="1129" w:type="dxa"/>
            <w:vAlign w:val="center"/>
          </w:tcPr>
          <w:p>
            <w:pPr>
              <w:widowControl/>
              <w:overflowPunct w:val="0"/>
              <w:adjustRightInd w:val="0"/>
              <w:snapToGrid w:val="0"/>
              <w:spacing w:line="240" w:lineRule="auto"/>
              <w:jc w:val="center"/>
              <w:rPr>
                <w:color w:val="000000"/>
                <w:kern w:val="0"/>
                <w:sz w:val="24"/>
                <w:szCs w:val="24"/>
              </w:rPr>
            </w:pPr>
            <w:r>
              <w:rPr>
                <w:rFonts w:hint="eastAsia"/>
                <w:color w:val="000000"/>
                <w:kern w:val="0"/>
                <w:sz w:val="24"/>
                <w:szCs w:val="24"/>
              </w:rPr>
              <w:t>自定</w:t>
            </w:r>
          </w:p>
        </w:tc>
        <w:tc>
          <w:tcPr>
            <w:tcW w:w="4372" w:type="dxa"/>
            <w:vAlign w:val="center"/>
          </w:tcPr>
          <w:p>
            <w:pPr>
              <w:widowControl/>
              <w:overflowPunct w:val="0"/>
              <w:adjustRightInd w:val="0"/>
              <w:snapToGrid w:val="0"/>
              <w:spacing w:line="240" w:lineRule="auto"/>
              <w:jc w:val="left"/>
              <w:rPr>
                <w:color w:val="000000"/>
                <w:kern w:val="0"/>
                <w:sz w:val="24"/>
                <w:szCs w:val="24"/>
              </w:rPr>
            </w:pPr>
            <w:r>
              <w:rPr>
                <w:rFonts w:hint="eastAsia"/>
                <w:color w:val="000000"/>
                <w:kern w:val="0"/>
                <w:sz w:val="24"/>
                <w:szCs w:val="24"/>
              </w:rPr>
              <w:t>原则上仅考虑国内风电并网业绩，本省级区域业绩分值比例不应超过35%。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6" w:hRule="atLeast"/>
          <w:jc w:val="center"/>
        </w:trPr>
        <w:tc>
          <w:tcPr>
            <w:tcW w:w="838" w:type="dxa"/>
            <w:vMerge w:val="continue"/>
            <w:vAlign w:val="center"/>
          </w:tcPr>
          <w:p>
            <w:pPr>
              <w:widowControl/>
              <w:overflowPunct w:val="0"/>
              <w:adjustRightInd w:val="0"/>
              <w:snapToGrid w:val="0"/>
              <w:spacing w:line="240" w:lineRule="auto"/>
              <w:jc w:val="left"/>
              <w:rPr>
                <w:color w:val="000000"/>
                <w:kern w:val="0"/>
                <w:sz w:val="24"/>
                <w:szCs w:val="24"/>
              </w:rPr>
            </w:pPr>
          </w:p>
        </w:tc>
        <w:tc>
          <w:tcPr>
            <w:tcW w:w="1130" w:type="dxa"/>
            <w:vMerge w:val="continue"/>
            <w:vAlign w:val="center"/>
          </w:tcPr>
          <w:p>
            <w:pPr>
              <w:widowControl/>
              <w:overflowPunct w:val="0"/>
              <w:adjustRightInd w:val="0"/>
              <w:snapToGrid w:val="0"/>
              <w:spacing w:line="240" w:lineRule="auto"/>
              <w:jc w:val="left"/>
              <w:rPr>
                <w:color w:val="000000"/>
                <w:kern w:val="0"/>
                <w:sz w:val="24"/>
                <w:szCs w:val="24"/>
              </w:rPr>
            </w:pPr>
          </w:p>
        </w:tc>
        <w:tc>
          <w:tcPr>
            <w:tcW w:w="1129" w:type="dxa"/>
            <w:vAlign w:val="center"/>
          </w:tcPr>
          <w:p>
            <w:pPr>
              <w:widowControl/>
              <w:overflowPunct w:val="0"/>
              <w:adjustRightInd w:val="0"/>
              <w:snapToGrid w:val="0"/>
              <w:spacing w:line="240" w:lineRule="auto"/>
              <w:jc w:val="center"/>
              <w:rPr>
                <w:color w:val="000000"/>
                <w:kern w:val="0"/>
                <w:sz w:val="24"/>
                <w:szCs w:val="24"/>
              </w:rPr>
            </w:pPr>
            <w:r>
              <w:rPr>
                <w:rFonts w:hint="eastAsia"/>
                <w:color w:val="000000"/>
                <w:kern w:val="0"/>
                <w:sz w:val="24"/>
                <w:szCs w:val="24"/>
              </w:rPr>
              <w:t>技术管理能力</w:t>
            </w:r>
          </w:p>
        </w:tc>
        <w:tc>
          <w:tcPr>
            <w:tcW w:w="1129" w:type="dxa"/>
            <w:vAlign w:val="center"/>
          </w:tcPr>
          <w:p>
            <w:pPr>
              <w:widowControl/>
              <w:overflowPunct w:val="0"/>
              <w:adjustRightInd w:val="0"/>
              <w:snapToGrid w:val="0"/>
              <w:spacing w:line="240" w:lineRule="auto"/>
              <w:jc w:val="center"/>
              <w:rPr>
                <w:color w:val="000000"/>
                <w:kern w:val="0"/>
                <w:sz w:val="24"/>
                <w:szCs w:val="24"/>
              </w:rPr>
            </w:pPr>
            <w:r>
              <w:rPr>
                <w:rFonts w:hint="eastAsia"/>
                <w:color w:val="000000"/>
                <w:kern w:val="0"/>
                <w:sz w:val="24"/>
                <w:szCs w:val="24"/>
              </w:rPr>
              <w:t>自定</w:t>
            </w:r>
          </w:p>
        </w:tc>
        <w:tc>
          <w:tcPr>
            <w:tcW w:w="4372" w:type="dxa"/>
            <w:vAlign w:val="center"/>
          </w:tcPr>
          <w:p>
            <w:pPr>
              <w:widowControl/>
              <w:overflowPunct w:val="0"/>
              <w:adjustRightInd w:val="0"/>
              <w:snapToGrid w:val="0"/>
              <w:spacing w:line="240" w:lineRule="auto"/>
              <w:jc w:val="left"/>
              <w:rPr>
                <w:color w:val="000000"/>
                <w:kern w:val="0"/>
                <w:sz w:val="24"/>
                <w:szCs w:val="24"/>
              </w:rPr>
            </w:pPr>
            <w:r>
              <w:rPr>
                <w:rFonts w:hint="eastAsia"/>
                <w:color w:val="000000"/>
                <w:kern w:val="0"/>
                <w:sz w:val="24"/>
                <w:szCs w:val="24"/>
              </w:rPr>
              <w:t>企业技术创新能力，已运行风电项目资产负债率、利润率等。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4" w:hRule="atLeast"/>
          <w:jc w:val="center"/>
        </w:trPr>
        <w:tc>
          <w:tcPr>
            <w:tcW w:w="838" w:type="dxa"/>
            <w:vMerge w:val="continue"/>
            <w:vAlign w:val="center"/>
          </w:tcPr>
          <w:p>
            <w:pPr>
              <w:widowControl/>
              <w:overflowPunct w:val="0"/>
              <w:adjustRightInd w:val="0"/>
              <w:snapToGrid w:val="0"/>
              <w:spacing w:line="240" w:lineRule="auto"/>
              <w:jc w:val="left"/>
              <w:rPr>
                <w:color w:val="000000"/>
                <w:kern w:val="0"/>
                <w:sz w:val="24"/>
                <w:szCs w:val="24"/>
              </w:rPr>
            </w:pPr>
          </w:p>
        </w:tc>
        <w:tc>
          <w:tcPr>
            <w:tcW w:w="1130" w:type="dxa"/>
            <w:vMerge w:val="continue"/>
            <w:vAlign w:val="center"/>
          </w:tcPr>
          <w:p>
            <w:pPr>
              <w:widowControl/>
              <w:overflowPunct w:val="0"/>
              <w:adjustRightInd w:val="0"/>
              <w:snapToGrid w:val="0"/>
              <w:spacing w:line="240" w:lineRule="auto"/>
              <w:jc w:val="left"/>
              <w:rPr>
                <w:color w:val="000000"/>
                <w:kern w:val="0"/>
                <w:sz w:val="24"/>
                <w:szCs w:val="24"/>
              </w:rPr>
            </w:pPr>
          </w:p>
        </w:tc>
        <w:tc>
          <w:tcPr>
            <w:tcW w:w="1129" w:type="dxa"/>
            <w:vAlign w:val="center"/>
          </w:tcPr>
          <w:p>
            <w:pPr>
              <w:widowControl/>
              <w:overflowPunct w:val="0"/>
              <w:adjustRightInd w:val="0"/>
              <w:snapToGrid w:val="0"/>
              <w:spacing w:line="240" w:lineRule="auto"/>
              <w:jc w:val="center"/>
              <w:rPr>
                <w:color w:val="000000"/>
                <w:kern w:val="0"/>
                <w:sz w:val="24"/>
                <w:szCs w:val="24"/>
              </w:rPr>
            </w:pPr>
            <w:r>
              <w:rPr>
                <w:rFonts w:hint="eastAsia"/>
                <w:color w:val="000000"/>
                <w:kern w:val="0"/>
                <w:sz w:val="24"/>
                <w:szCs w:val="24"/>
              </w:rPr>
              <w:t>履约评价</w:t>
            </w:r>
          </w:p>
        </w:tc>
        <w:tc>
          <w:tcPr>
            <w:tcW w:w="1129" w:type="dxa"/>
            <w:vAlign w:val="center"/>
          </w:tcPr>
          <w:p>
            <w:pPr>
              <w:widowControl/>
              <w:overflowPunct w:val="0"/>
              <w:adjustRightInd w:val="0"/>
              <w:snapToGrid w:val="0"/>
              <w:spacing w:line="240" w:lineRule="auto"/>
              <w:jc w:val="center"/>
              <w:rPr>
                <w:color w:val="000000"/>
                <w:kern w:val="0"/>
                <w:sz w:val="24"/>
                <w:szCs w:val="24"/>
              </w:rPr>
            </w:pPr>
            <w:r>
              <w:rPr>
                <w:rFonts w:hint="eastAsia"/>
                <w:color w:val="000000"/>
                <w:kern w:val="0"/>
                <w:sz w:val="24"/>
                <w:szCs w:val="24"/>
              </w:rPr>
              <w:t>自定</w:t>
            </w:r>
          </w:p>
        </w:tc>
        <w:tc>
          <w:tcPr>
            <w:tcW w:w="4372" w:type="dxa"/>
            <w:vAlign w:val="center"/>
          </w:tcPr>
          <w:p>
            <w:pPr>
              <w:widowControl/>
              <w:overflowPunct w:val="0"/>
              <w:adjustRightInd w:val="0"/>
              <w:snapToGrid w:val="0"/>
              <w:spacing w:line="240" w:lineRule="auto"/>
              <w:jc w:val="left"/>
              <w:rPr>
                <w:color w:val="000000"/>
                <w:kern w:val="0"/>
                <w:sz w:val="24"/>
                <w:szCs w:val="24"/>
              </w:rPr>
            </w:pPr>
            <w:r>
              <w:rPr>
                <w:rFonts w:hint="eastAsia"/>
                <w:color w:val="000000"/>
                <w:kern w:val="0"/>
                <w:sz w:val="24"/>
                <w:szCs w:val="24"/>
              </w:rPr>
              <w:t>近三年或正在实施项目的履约情况，社会信誉情况。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atLeast"/>
          <w:jc w:val="center"/>
        </w:trPr>
        <w:tc>
          <w:tcPr>
            <w:tcW w:w="838" w:type="dxa"/>
            <w:vAlign w:val="center"/>
          </w:tcPr>
          <w:p>
            <w:pPr>
              <w:widowControl/>
              <w:overflowPunct w:val="0"/>
              <w:adjustRightInd w:val="0"/>
              <w:snapToGrid w:val="0"/>
              <w:spacing w:line="240" w:lineRule="auto"/>
              <w:jc w:val="center"/>
              <w:rPr>
                <w:color w:val="000000"/>
                <w:kern w:val="0"/>
                <w:sz w:val="24"/>
                <w:szCs w:val="24"/>
              </w:rPr>
            </w:pPr>
            <w:r>
              <w:rPr>
                <w:color w:val="000000"/>
                <w:kern w:val="0"/>
                <w:sz w:val="24"/>
                <w:szCs w:val="24"/>
              </w:rPr>
              <w:t>2</w:t>
            </w:r>
          </w:p>
        </w:tc>
        <w:tc>
          <w:tcPr>
            <w:tcW w:w="1130" w:type="dxa"/>
            <w:vAlign w:val="center"/>
          </w:tcPr>
          <w:p>
            <w:pPr>
              <w:widowControl/>
              <w:overflowPunct w:val="0"/>
              <w:adjustRightInd w:val="0"/>
              <w:snapToGrid w:val="0"/>
              <w:spacing w:line="240" w:lineRule="auto"/>
              <w:jc w:val="center"/>
              <w:rPr>
                <w:color w:val="000000"/>
                <w:kern w:val="0"/>
                <w:sz w:val="24"/>
                <w:szCs w:val="24"/>
              </w:rPr>
            </w:pPr>
            <w:r>
              <w:rPr>
                <w:rFonts w:hint="eastAsia"/>
                <w:color w:val="000000"/>
                <w:kern w:val="0"/>
                <w:sz w:val="24"/>
                <w:szCs w:val="24"/>
              </w:rPr>
              <w:t>设备先进性（10）</w:t>
            </w:r>
          </w:p>
        </w:tc>
        <w:tc>
          <w:tcPr>
            <w:tcW w:w="1129" w:type="dxa"/>
            <w:vAlign w:val="center"/>
          </w:tcPr>
          <w:p>
            <w:pPr>
              <w:widowControl/>
              <w:overflowPunct w:val="0"/>
              <w:adjustRightInd w:val="0"/>
              <w:snapToGrid w:val="0"/>
              <w:spacing w:line="240" w:lineRule="auto"/>
              <w:jc w:val="center"/>
              <w:rPr>
                <w:color w:val="000000"/>
                <w:kern w:val="0"/>
                <w:sz w:val="24"/>
                <w:szCs w:val="24"/>
              </w:rPr>
            </w:pPr>
            <w:r>
              <w:rPr>
                <w:rFonts w:hint="eastAsia"/>
                <w:color w:val="000000"/>
                <w:kern w:val="0"/>
                <w:sz w:val="24"/>
                <w:szCs w:val="24"/>
              </w:rPr>
              <w:t>重点设备先进性</w:t>
            </w:r>
          </w:p>
        </w:tc>
        <w:tc>
          <w:tcPr>
            <w:tcW w:w="1129" w:type="dxa"/>
            <w:vAlign w:val="center"/>
          </w:tcPr>
          <w:p>
            <w:pPr>
              <w:widowControl/>
              <w:overflowPunct w:val="0"/>
              <w:adjustRightInd w:val="0"/>
              <w:snapToGrid w:val="0"/>
              <w:spacing w:line="240" w:lineRule="auto"/>
              <w:jc w:val="center"/>
              <w:rPr>
                <w:color w:val="000000"/>
                <w:kern w:val="0"/>
                <w:sz w:val="24"/>
                <w:szCs w:val="24"/>
              </w:rPr>
            </w:pPr>
            <w:r>
              <w:rPr>
                <w:rFonts w:hint="eastAsia"/>
                <w:color w:val="000000"/>
                <w:kern w:val="0"/>
                <w:sz w:val="24"/>
                <w:szCs w:val="24"/>
              </w:rPr>
              <w:t>10</w:t>
            </w:r>
          </w:p>
        </w:tc>
        <w:tc>
          <w:tcPr>
            <w:tcW w:w="4372" w:type="dxa"/>
            <w:vAlign w:val="center"/>
          </w:tcPr>
          <w:p>
            <w:pPr>
              <w:widowControl/>
              <w:overflowPunct w:val="0"/>
              <w:adjustRightInd w:val="0"/>
              <w:snapToGrid w:val="0"/>
              <w:spacing w:line="240" w:lineRule="auto"/>
              <w:rPr>
                <w:color w:val="000000"/>
                <w:kern w:val="0"/>
                <w:sz w:val="24"/>
                <w:szCs w:val="24"/>
              </w:rPr>
            </w:pPr>
            <w:r>
              <w:rPr>
                <w:rFonts w:hint="eastAsia"/>
                <w:color w:val="000000"/>
                <w:kern w:val="0"/>
                <w:sz w:val="24"/>
                <w:szCs w:val="24"/>
              </w:rPr>
              <w:t>风电机组单机容量，风电机组整机认证情况，风电机组风能利用系数、动态功率曲线保证承诺等。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0" w:hRule="atLeast"/>
          <w:jc w:val="center"/>
        </w:trPr>
        <w:tc>
          <w:tcPr>
            <w:tcW w:w="838" w:type="dxa"/>
            <w:vAlign w:val="center"/>
          </w:tcPr>
          <w:p>
            <w:pPr>
              <w:widowControl/>
              <w:overflowPunct w:val="0"/>
              <w:adjustRightInd w:val="0"/>
              <w:snapToGrid w:val="0"/>
              <w:spacing w:line="240" w:lineRule="auto"/>
              <w:jc w:val="center"/>
              <w:rPr>
                <w:color w:val="000000"/>
                <w:kern w:val="0"/>
                <w:sz w:val="24"/>
                <w:szCs w:val="24"/>
              </w:rPr>
            </w:pPr>
            <w:r>
              <w:rPr>
                <w:color w:val="000000"/>
                <w:kern w:val="0"/>
                <w:sz w:val="24"/>
                <w:szCs w:val="24"/>
              </w:rPr>
              <w:t>3</w:t>
            </w:r>
          </w:p>
        </w:tc>
        <w:tc>
          <w:tcPr>
            <w:tcW w:w="1130" w:type="dxa"/>
            <w:vAlign w:val="center"/>
          </w:tcPr>
          <w:p>
            <w:pPr>
              <w:widowControl/>
              <w:overflowPunct w:val="0"/>
              <w:adjustRightInd w:val="0"/>
              <w:snapToGrid w:val="0"/>
              <w:spacing w:line="240" w:lineRule="auto"/>
              <w:jc w:val="center"/>
              <w:rPr>
                <w:color w:val="000000"/>
                <w:kern w:val="0"/>
                <w:sz w:val="24"/>
                <w:szCs w:val="24"/>
              </w:rPr>
            </w:pPr>
            <w:r>
              <w:rPr>
                <w:rFonts w:hint="eastAsia"/>
                <w:color w:val="000000"/>
                <w:kern w:val="0"/>
                <w:sz w:val="24"/>
                <w:szCs w:val="24"/>
              </w:rPr>
              <w:t>技术方案（10）</w:t>
            </w:r>
          </w:p>
        </w:tc>
        <w:tc>
          <w:tcPr>
            <w:tcW w:w="1129" w:type="dxa"/>
            <w:vAlign w:val="center"/>
          </w:tcPr>
          <w:p>
            <w:pPr>
              <w:widowControl/>
              <w:overflowPunct w:val="0"/>
              <w:adjustRightInd w:val="0"/>
              <w:snapToGrid w:val="0"/>
              <w:spacing w:line="240" w:lineRule="auto"/>
              <w:jc w:val="center"/>
              <w:rPr>
                <w:color w:val="000000"/>
                <w:kern w:val="0"/>
                <w:sz w:val="24"/>
                <w:szCs w:val="24"/>
              </w:rPr>
            </w:pPr>
            <w:r>
              <w:rPr>
                <w:rFonts w:hint="eastAsia"/>
                <w:color w:val="000000"/>
                <w:kern w:val="0"/>
                <w:sz w:val="24"/>
                <w:szCs w:val="24"/>
              </w:rPr>
              <w:t>项目技术方案评价</w:t>
            </w:r>
          </w:p>
        </w:tc>
        <w:tc>
          <w:tcPr>
            <w:tcW w:w="1129" w:type="dxa"/>
            <w:vAlign w:val="center"/>
          </w:tcPr>
          <w:p>
            <w:pPr>
              <w:widowControl/>
              <w:overflowPunct w:val="0"/>
              <w:adjustRightInd w:val="0"/>
              <w:snapToGrid w:val="0"/>
              <w:spacing w:line="240" w:lineRule="auto"/>
              <w:jc w:val="center"/>
              <w:rPr>
                <w:color w:val="000000"/>
                <w:kern w:val="0"/>
                <w:sz w:val="24"/>
                <w:szCs w:val="24"/>
              </w:rPr>
            </w:pPr>
            <w:r>
              <w:rPr>
                <w:rFonts w:hint="eastAsia"/>
                <w:color w:val="000000"/>
                <w:kern w:val="0"/>
                <w:sz w:val="24"/>
                <w:szCs w:val="24"/>
              </w:rPr>
              <w:t>10</w:t>
            </w:r>
          </w:p>
        </w:tc>
        <w:tc>
          <w:tcPr>
            <w:tcW w:w="4372" w:type="dxa"/>
            <w:vAlign w:val="center"/>
          </w:tcPr>
          <w:p>
            <w:pPr>
              <w:widowControl/>
              <w:overflowPunct w:val="0"/>
              <w:adjustRightInd w:val="0"/>
              <w:snapToGrid w:val="0"/>
              <w:spacing w:line="240" w:lineRule="auto"/>
              <w:jc w:val="left"/>
              <w:rPr>
                <w:color w:val="000000"/>
                <w:kern w:val="0"/>
                <w:sz w:val="24"/>
                <w:szCs w:val="24"/>
              </w:rPr>
            </w:pPr>
            <w:r>
              <w:rPr>
                <w:rFonts w:hint="eastAsia"/>
                <w:color w:val="000000"/>
                <w:kern w:val="0"/>
                <w:sz w:val="24"/>
                <w:szCs w:val="24"/>
              </w:rPr>
              <w:t>风能资源高效利用，风电场智能化设计，退役及拆除方案，方案技术经济合理性。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5" w:hRule="atLeast"/>
          <w:jc w:val="center"/>
        </w:trPr>
        <w:tc>
          <w:tcPr>
            <w:tcW w:w="838" w:type="dxa"/>
            <w:vAlign w:val="center"/>
          </w:tcPr>
          <w:p>
            <w:pPr>
              <w:widowControl/>
              <w:overflowPunct w:val="0"/>
              <w:adjustRightInd w:val="0"/>
              <w:snapToGrid w:val="0"/>
              <w:spacing w:line="240" w:lineRule="auto"/>
              <w:jc w:val="center"/>
              <w:rPr>
                <w:color w:val="000000"/>
                <w:kern w:val="0"/>
                <w:sz w:val="24"/>
                <w:szCs w:val="24"/>
              </w:rPr>
            </w:pPr>
            <w:r>
              <w:rPr>
                <w:color w:val="000000"/>
                <w:kern w:val="0"/>
                <w:sz w:val="24"/>
                <w:szCs w:val="24"/>
              </w:rPr>
              <w:t>4</w:t>
            </w:r>
          </w:p>
        </w:tc>
        <w:tc>
          <w:tcPr>
            <w:tcW w:w="1130" w:type="dxa"/>
            <w:vAlign w:val="center"/>
          </w:tcPr>
          <w:p>
            <w:pPr>
              <w:widowControl/>
              <w:overflowPunct w:val="0"/>
              <w:adjustRightInd w:val="0"/>
              <w:snapToGrid w:val="0"/>
              <w:spacing w:line="240" w:lineRule="auto"/>
              <w:jc w:val="center"/>
              <w:rPr>
                <w:color w:val="000000"/>
                <w:kern w:val="0"/>
                <w:sz w:val="24"/>
                <w:szCs w:val="24"/>
              </w:rPr>
            </w:pPr>
            <w:r>
              <w:rPr>
                <w:rFonts w:hint="eastAsia"/>
                <w:color w:val="000000"/>
                <w:kern w:val="0"/>
                <w:sz w:val="24"/>
                <w:szCs w:val="24"/>
              </w:rPr>
              <w:t>已开展前期工作（10）</w:t>
            </w:r>
          </w:p>
        </w:tc>
        <w:tc>
          <w:tcPr>
            <w:tcW w:w="1129" w:type="dxa"/>
            <w:vAlign w:val="center"/>
          </w:tcPr>
          <w:p>
            <w:pPr>
              <w:widowControl/>
              <w:overflowPunct w:val="0"/>
              <w:adjustRightInd w:val="0"/>
              <w:snapToGrid w:val="0"/>
              <w:spacing w:line="240" w:lineRule="auto"/>
              <w:jc w:val="center"/>
              <w:rPr>
                <w:color w:val="000000"/>
                <w:kern w:val="0"/>
                <w:sz w:val="24"/>
                <w:szCs w:val="24"/>
              </w:rPr>
            </w:pPr>
            <w:r>
              <w:rPr>
                <w:rFonts w:hint="eastAsia"/>
                <w:color w:val="000000"/>
                <w:kern w:val="0"/>
                <w:sz w:val="24"/>
                <w:szCs w:val="24"/>
              </w:rPr>
              <w:t>支持性文件和可行性研究设计</w:t>
            </w:r>
          </w:p>
        </w:tc>
        <w:tc>
          <w:tcPr>
            <w:tcW w:w="1129" w:type="dxa"/>
            <w:vAlign w:val="center"/>
          </w:tcPr>
          <w:p>
            <w:pPr>
              <w:widowControl/>
              <w:overflowPunct w:val="0"/>
              <w:adjustRightInd w:val="0"/>
              <w:snapToGrid w:val="0"/>
              <w:spacing w:line="240" w:lineRule="auto"/>
              <w:jc w:val="center"/>
              <w:rPr>
                <w:color w:val="000000"/>
                <w:kern w:val="0"/>
                <w:sz w:val="24"/>
                <w:szCs w:val="24"/>
              </w:rPr>
            </w:pPr>
            <w:r>
              <w:rPr>
                <w:rFonts w:hint="eastAsia"/>
                <w:color w:val="000000"/>
                <w:kern w:val="0"/>
                <w:sz w:val="24"/>
                <w:szCs w:val="24"/>
              </w:rPr>
              <w:t>10</w:t>
            </w:r>
          </w:p>
        </w:tc>
        <w:tc>
          <w:tcPr>
            <w:tcW w:w="4372" w:type="dxa"/>
            <w:vAlign w:val="center"/>
          </w:tcPr>
          <w:p>
            <w:pPr>
              <w:widowControl/>
              <w:overflowPunct w:val="0"/>
              <w:adjustRightInd w:val="0"/>
              <w:snapToGrid w:val="0"/>
              <w:spacing w:line="240" w:lineRule="auto"/>
              <w:jc w:val="left"/>
              <w:rPr>
                <w:color w:val="000000"/>
                <w:kern w:val="0"/>
                <w:sz w:val="24"/>
                <w:szCs w:val="24"/>
              </w:rPr>
            </w:pPr>
            <w:r>
              <w:rPr>
                <w:rFonts w:hint="eastAsia"/>
                <w:color w:val="000000"/>
                <w:kern w:val="0"/>
                <w:sz w:val="24"/>
                <w:szCs w:val="24"/>
              </w:rPr>
              <w:t>前期测风及风资源评估情况，可行性研究设计报告，规划、土地、林业、环保、压矿、文物、军事等支持性文件，地方政府土地使用等优惠政策承诺函。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5" w:hRule="atLeast"/>
          <w:jc w:val="center"/>
        </w:trPr>
        <w:tc>
          <w:tcPr>
            <w:tcW w:w="838" w:type="dxa"/>
            <w:vAlign w:val="center"/>
          </w:tcPr>
          <w:p>
            <w:pPr>
              <w:widowControl/>
              <w:overflowPunct w:val="0"/>
              <w:adjustRightInd w:val="0"/>
              <w:snapToGrid w:val="0"/>
              <w:spacing w:line="240" w:lineRule="auto"/>
              <w:jc w:val="center"/>
              <w:rPr>
                <w:color w:val="000000"/>
                <w:kern w:val="0"/>
                <w:sz w:val="24"/>
                <w:szCs w:val="24"/>
              </w:rPr>
            </w:pPr>
            <w:r>
              <w:rPr>
                <w:color w:val="000000"/>
                <w:kern w:val="0"/>
                <w:sz w:val="24"/>
                <w:szCs w:val="24"/>
              </w:rPr>
              <w:t>5</w:t>
            </w:r>
          </w:p>
        </w:tc>
        <w:tc>
          <w:tcPr>
            <w:tcW w:w="1130" w:type="dxa"/>
            <w:vAlign w:val="center"/>
          </w:tcPr>
          <w:p>
            <w:pPr>
              <w:widowControl/>
              <w:overflowPunct w:val="0"/>
              <w:adjustRightInd w:val="0"/>
              <w:snapToGrid w:val="0"/>
              <w:spacing w:line="240" w:lineRule="auto"/>
              <w:jc w:val="center"/>
              <w:rPr>
                <w:color w:val="000000"/>
                <w:kern w:val="0"/>
                <w:sz w:val="24"/>
                <w:szCs w:val="24"/>
              </w:rPr>
            </w:pPr>
            <w:r>
              <w:rPr>
                <w:rFonts w:hint="eastAsia"/>
                <w:color w:val="000000"/>
                <w:kern w:val="0"/>
                <w:sz w:val="24"/>
                <w:szCs w:val="24"/>
              </w:rPr>
              <w:t>接入消纳条件（10）</w:t>
            </w:r>
          </w:p>
        </w:tc>
        <w:tc>
          <w:tcPr>
            <w:tcW w:w="1129" w:type="dxa"/>
            <w:vAlign w:val="center"/>
          </w:tcPr>
          <w:p>
            <w:pPr>
              <w:widowControl/>
              <w:overflowPunct w:val="0"/>
              <w:adjustRightInd w:val="0"/>
              <w:snapToGrid w:val="0"/>
              <w:spacing w:line="240" w:lineRule="auto"/>
              <w:jc w:val="center"/>
              <w:rPr>
                <w:color w:val="000000"/>
                <w:kern w:val="0"/>
                <w:sz w:val="24"/>
                <w:szCs w:val="24"/>
              </w:rPr>
            </w:pPr>
            <w:r>
              <w:rPr>
                <w:rFonts w:hint="eastAsia"/>
                <w:color w:val="000000"/>
                <w:kern w:val="0"/>
                <w:sz w:val="24"/>
                <w:szCs w:val="24"/>
              </w:rPr>
              <w:t>接入消纳论证意见</w:t>
            </w:r>
          </w:p>
        </w:tc>
        <w:tc>
          <w:tcPr>
            <w:tcW w:w="1129" w:type="dxa"/>
            <w:vAlign w:val="center"/>
          </w:tcPr>
          <w:p>
            <w:pPr>
              <w:widowControl/>
              <w:overflowPunct w:val="0"/>
              <w:adjustRightInd w:val="0"/>
              <w:snapToGrid w:val="0"/>
              <w:spacing w:line="240" w:lineRule="auto"/>
              <w:jc w:val="center"/>
              <w:rPr>
                <w:color w:val="000000"/>
                <w:kern w:val="0"/>
                <w:sz w:val="24"/>
                <w:szCs w:val="24"/>
              </w:rPr>
            </w:pPr>
            <w:r>
              <w:rPr>
                <w:rFonts w:hint="eastAsia"/>
                <w:color w:val="000000"/>
                <w:kern w:val="0"/>
                <w:sz w:val="24"/>
                <w:szCs w:val="24"/>
              </w:rPr>
              <w:t>10</w:t>
            </w:r>
          </w:p>
        </w:tc>
        <w:tc>
          <w:tcPr>
            <w:tcW w:w="4372" w:type="dxa"/>
            <w:vAlign w:val="center"/>
          </w:tcPr>
          <w:p>
            <w:pPr>
              <w:widowControl/>
              <w:overflowPunct w:val="0"/>
              <w:adjustRightInd w:val="0"/>
              <w:snapToGrid w:val="0"/>
              <w:spacing w:line="240" w:lineRule="auto"/>
              <w:jc w:val="left"/>
              <w:rPr>
                <w:color w:val="000000"/>
                <w:kern w:val="0"/>
                <w:sz w:val="24"/>
                <w:szCs w:val="24"/>
              </w:rPr>
            </w:pPr>
            <w:r>
              <w:rPr>
                <w:rFonts w:hint="eastAsia"/>
                <w:color w:val="000000"/>
                <w:kern w:val="0"/>
                <w:sz w:val="24"/>
                <w:szCs w:val="24"/>
              </w:rPr>
              <w:t>项目接入系统和消纳能力评估研究方案，电网关于电力消纳保障的意见或承诺。利用已有接网工程送出能力且可确保全额消纳的优先。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7" w:hRule="atLeast"/>
          <w:jc w:val="center"/>
        </w:trPr>
        <w:tc>
          <w:tcPr>
            <w:tcW w:w="838" w:type="dxa"/>
            <w:vAlign w:val="center"/>
          </w:tcPr>
          <w:p>
            <w:pPr>
              <w:widowControl/>
              <w:overflowPunct w:val="0"/>
              <w:adjustRightInd w:val="0"/>
              <w:snapToGrid w:val="0"/>
              <w:spacing w:line="240" w:lineRule="auto"/>
              <w:jc w:val="center"/>
              <w:rPr>
                <w:color w:val="000000"/>
                <w:kern w:val="0"/>
                <w:sz w:val="24"/>
                <w:szCs w:val="24"/>
              </w:rPr>
            </w:pPr>
            <w:r>
              <w:rPr>
                <w:color w:val="000000"/>
                <w:kern w:val="0"/>
                <w:sz w:val="24"/>
                <w:szCs w:val="24"/>
              </w:rPr>
              <w:t>6</w:t>
            </w:r>
          </w:p>
        </w:tc>
        <w:tc>
          <w:tcPr>
            <w:tcW w:w="1130" w:type="dxa"/>
            <w:vAlign w:val="center"/>
          </w:tcPr>
          <w:p>
            <w:pPr>
              <w:widowControl/>
              <w:overflowPunct w:val="0"/>
              <w:adjustRightInd w:val="0"/>
              <w:snapToGrid w:val="0"/>
              <w:spacing w:line="240" w:lineRule="auto"/>
              <w:jc w:val="center"/>
              <w:rPr>
                <w:color w:val="000000"/>
                <w:kern w:val="0"/>
                <w:sz w:val="24"/>
                <w:szCs w:val="24"/>
              </w:rPr>
            </w:pPr>
            <w:r>
              <w:rPr>
                <w:rFonts w:hint="eastAsia"/>
                <w:color w:val="000000"/>
                <w:kern w:val="0"/>
                <w:sz w:val="24"/>
                <w:szCs w:val="24"/>
              </w:rPr>
              <w:t>申报电价（40）</w:t>
            </w:r>
          </w:p>
        </w:tc>
        <w:tc>
          <w:tcPr>
            <w:tcW w:w="1129" w:type="dxa"/>
            <w:vAlign w:val="center"/>
          </w:tcPr>
          <w:p>
            <w:pPr>
              <w:widowControl/>
              <w:overflowPunct w:val="0"/>
              <w:adjustRightInd w:val="0"/>
              <w:snapToGrid w:val="0"/>
              <w:spacing w:line="240" w:lineRule="auto"/>
              <w:jc w:val="center"/>
              <w:rPr>
                <w:color w:val="000000"/>
                <w:kern w:val="0"/>
                <w:sz w:val="24"/>
                <w:szCs w:val="24"/>
              </w:rPr>
            </w:pPr>
            <w:r>
              <w:rPr>
                <w:rFonts w:hint="eastAsia"/>
                <w:color w:val="000000"/>
                <w:kern w:val="0"/>
                <w:sz w:val="24"/>
                <w:szCs w:val="24"/>
              </w:rPr>
              <w:t>申报电价竞争力</w:t>
            </w:r>
          </w:p>
        </w:tc>
        <w:tc>
          <w:tcPr>
            <w:tcW w:w="1129" w:type="dxa"/>
            <w:vAlign w:val="center"/>
          </w:tcPr>
          <w:p>
            <w:pPr>
              <w:widowControl/>
              <w:overflowPunct w:val="0"/>
              <w:adjustRightInd w:val="0"/>
              <w:snapToGrid w:val="0"/>
              <w:spacing w:line="240" w:lineRule="auto"/>
              <w:jc w:val="center"/>
              <w:rPr>
                <w:color w:val="000000"/>
                <w:kern w:val="0"/>
                <w:sz w:val="24"/>
                <w:szCs w:val="24"/>
              </w:rPr>
            </w:pPr>
            <w:r>
              <w:rPr>
                <w:color w:val="000000"/>
                <w:kern w:val="0"/>
                <w:sz w:val="24"/>
                <w:szCs w:val="24"/>
              </w:rPr>
              <w:t>40</w:t>
            </w:r>
          </w:p>
        </w:tc>
        <w:tc>
          <w:tcPr>
            <w:tcW w:w="4372" w:type="dxa"/>
            <w:vAlign w:val="center"/>
          </w:tcPr>
          <w:p>
            <w:pPr>
              <w:widowControl/>
              <w:overflowPunct w:val="0"/>
              <w:adjustRightInd w:val="0"/>
              <w:snapToGrid w:val="0"/>
              <w:spacing w:line="240" w:lineRule="auto"/>
              <w:rPr>
                <w:color w:val="000000"/>
                <w:kern w:val="0"/>
                <w:sz w:val="24"/>
                <w:szCs w:val="24"/>
              </w:rPr>
            </w:pPr>
            <w:r>
              <w:rPr>
                <w:rFonts w:hint="eastAsia"/>
                <w:color w:val="000000"/>
                <w:kern w:val="0"/>
                <w:sz w:val="24"/>
                <w:szCs w:val="24"/>
              </w:rPr>
              <w:t>以所属风能资源区现行风电指导价作为最高限价，根据降价幅度科学评分。不得设置最低报价。</w:t>
            </w:r>
          </w:p>
        </w:tc>
      </w:tr>
    </w:tbl>
    <w:p>
      <w:pPr>
        <w:pStyle w:val="3"/>
        <w:overflowPunct w:val="0"/>
        <w:rPr>
          <w:rFonts w:ascii="Times New Roman" w:hAnsi="Times New Roman"/>
        </w:rPr>
      </w:pPr>
      <w:r>
        <w:rPr>
          <w:rFonts w:hint="eastAsia" w:ascii="Times New Roman" w:hAnsi="Times New Roman"/>
        </w:rPr>
        <w:t>（二）未确定投资主体项目的竞争要素</w:t>
      </w:r>
    </w:p>
    <w:p>
      <w:pPr>
        <w:pStyle w:val="22"/>
        <w:overflowPunct w:val="0"/>
      </w:pPr>
      <w:r>
        <w:t>1</w:t>
      </w:r>
      <w:r>
        <w:rPr>
          <w:rFonts w:hint="eastAsia"/>
        </w:rPr>
        <w:t>.企业能力。包括投资能力、业绩、技术能力、企业诚信履约情况评价。</w:t>
      </w:r>
    </w:p>
    <w:p>
      <w:pPr>
        <w:pStyle w:val="22"/>
        <w:overflowPunct w:val="0"/>
      </w:pPr>
      <w:r>
        <w:t>2</w:t>
      </w:r>
      <w:r>
        <w:rPr>
          <w:rFonts w:hint="eastAsia"/>
        </w:rPr>
        <w:t>.设备先进性。包括风电机组选型、风能利用系数、动态功率曲线保障、风电机组认证情况。</w:t>
      </w:r>
    </w:p>
    <w:p>
      <w:pPr>
        <w:pStyle w:val="22"/>
        <w:overflowPunct w:val="0"/>
      </w:pPr>
      <w:r>
        <w:t>3</w:t>
      </w:r>
      <w:r>
        <w:rPr>
          <w:rFonts w:hint="eastAsia"/>
        </w:rPr>
        <w:t>.技术方案。包括充分利用资源条件、优化技术方案、利用小时测算、智能化控制运行维护、退役及拆除方案、经济合理性等。</w:t>
      </w:r>
    </w:p>
    <w:p>
      <w:pPr>
        <w:pStyle w:val="22"/>
        <w:overflowPunct w:val="0"/>
      </w:pPr>
      <w:r>
        <w:t>4</w:t>
      </w:r>
      <w:r>
        <w:rPr>
          <w:rFonts w:hint="eastAsia"/>
        </w:rPr>
        <w:t>.申报电价。测算提出合理收益条件下的</w:t>
      </w:r>
      <w:r>
        <w:t>20</w:t>
      </w:r>
      <w:r>
        <w:rPr>
          <w:rFonts w:hint="eastAsia"/>
        </w:rPr>
        <w:t>年固定上网电价。国家核定最低保障小时数的地区，可按照国家最低保障小时数报价，超出部分市场定价，按最低保障小时数内电价评分。</w:t>
      </w:r>
    </w:p>
    <w:p>
      <w:pPr>
        <w:pStyle w:val="22"/>
        <w:overflowPunct w:val="0"/>
      </w:pPr>
      <w:r>
        <w:rPr>
          <w:rFonts w:hint="eastAsia"/>
        </w:rPr>
        <w:t>各省级能源主管部门可参照表</w:t>
      </w:r>
      <w:r>
        <w:t>2</w:t>
      </w:r>
      <w:r>
        <w:rPr>
          <w:rFonts w:hint="eastAsia"/>
        </w:rPr>
        <w:t>自行制定竞争配置评分细则，但不应设置或变相设置有违市场公平的条款。原则上采取综合评分法，其中电价权重不得低于</w:t>
      </w:r>
      <w:r>
        <w:t>40%</w:t>
      </w:r>
      <w:r>
        <w:rPr>
          <w:rFonts w:hint="eastAsia"/>
        </w:rPr>
        <w:t>。</w:t>
      </w:r>
    </w:p>
    <w:p>
      <w:pPr>
        <w:keepNext/>
        <w:overflowPunct w:val="0"/>
        <w:jc w:val="center"/>
      </w:pPr>
      <w:r>
        <w:rPr>
          <w:rFonts w:hint="eastAsia"/>
        </w:rPr>
        <w:t>表</w:t>
      </w:r>
      <w:r>
        <w:t xml:space="preserve">2 </w:t>
      </w:r>
      <w:r>
        <w:rPr>
          <w:rFonts w:hint="eastAsia"/>
        </w:rPr>
        <w:t>未确定投资主体风电项目参考评分标准</w:t>
      </w:r>
    </w:p>
    <w:tbl>
      <w:tblPr>
        <w:tblStyle w:val="12"/>
        <w:tblW w:w="865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2"/>
        <w:gridCol w:w="1056"/>
        <w:gridCol w:w="1067"/>
        <w:gridCol w:w="802"/>
        <w:gridCol w:w="49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802" w:type="dxa"/>
            <w:vAlign w:val="center"/>
          </w:tcPr>
          <w:p>
            <w:pPr>
              <w:widowControl/>
              <w:overflowPunct w:val="0"/>
              <w:adjustRightInd w:val="0"/>
              <w:snapToGrid w:val="0"/>
              <w:spacing w:line="240" w:lineRule="auto"/>
              <w:jc w:val="center"/>
              <w:rPr>
                <w:color w:val="000000"/>
                <w:kern w:val="0"/>
                <w:sz w:val="24"/>
                <w:szCs w:val="24"/>
              </w:rPr>
            </w:pPr>
            <w:r>
              <w:rPr>
                <w:rFonts w:hint="eastAsia"/>
                <w:color w:val="000000"/>
                <w:kern w:val="0"/>
                <w:sz w:val="24"/>
                <w:szCs w:val="24"/>
              </w:rPr>
              <w:t>序号</w:t>
            </w:r>
          </w:p>
        </w:tc>
        <w:tc>
          <w:tcPr>
            <w:tcW w:w="1056" w:type="dxa"/>
            <w:vAlign w:val="center"/>
          </w:tcPr>
          <w:p>
            <w:pPr>
              <w:widowControl/>
              <w:overflowPunct w:val="0"/>
              <w:adjustRightInd w:val="0"/>
              <w:snapToGrid w:val="0"/>
              <w:spacing w:line="240" w:lineRule="auto"/>
              <w:jc w:val="center"/>
              <w:rPr>
                <w:color w:val="000000"/>
                <w:kern w:val="0"/>
                <w:sz w:val="24"/>
                <w:szCs w:val="24"/>
              </w:rPr>
            </w:pPr>
            <w:r>
              <w:rPr>
                <w:rFonts w:hint="eastAsia"/>
                <w:color w:val="000000"/>
                <w:kern w:val="0"/>
                <w:sz w:val="24"/>
                <w:szCs w:val="24"/>
              </w:rPr>
              <w:t>项目</w:t>
            </w:r>
          </w:p>
        </w:tc>
        <w:tc>
          <w:tcPr>
            <w:tcW w:w="1067" w:type="dxa"/>
            <w:vAlign w:val="center"/>
          </w:tcPr>
          <w:p>
            <w:pPr>
              <w:widowControl/>
              <w:overflowPunct w:val="0"/>
              <w:adjustRightInd w:val="0"/>
              <w:snapToGrid w:val="0"/>
              <w:spacing w:line="240" w:lineRule="auto"/>
              <w:jc w:val="center"/>
              <w:rPr>
                <w:color w:val="000000"/>
                <w:kern w:val="0"/>
                <w:sz w:val="24"/>
                <w:szCs w:val="24"/>
              </w:rPr>
            </w:pPr>
            <w:r>
              <w:rPr>
                <w:rFonts w:hint="eastAsia"/>
                <w:color w:val="000000"/>
                <w:kern w:val="0"/>
                <w:sz w:val="24"/>
                <w:szCs w:val="24"/>
              </w:rPr>
              <w:t>内容</w:t>
            </w:r>
          </w:p>
        </w:tc>
        <w:tc>
          <w:tcPr>
            <w:tcW w:w="802" w:type="dxa"/>
            <w:vAlign w:val="center"/>
          </w:tcPr>
          <w:p>
            <w:pPr>
              <w:widowControl/>
              <w:overflowPunct w:val="0"/>
              <w:adjustRightInd w:val="0"/>
              <w:snapToGrid w:val="0"/>
              <w:spacing w:line="240" w:lineRule="auto"/>
              <w:jc w:val="center"/>
              <w:rPr>
                <w:color w:val="000000"/>
                <w:kern w:val="0"/>
                <w:sz w:val="24"/>
                <w:szCs w:val="24"/>
              </w:rPr>
            </w:pPr>
            <w:r>
              <w:rPr>
                <w:rFonts w:hint="eastAsia"/>
                <w:color w:val="000000"/>
                <w:kern w:val="0"/>
                <w:sz w:val="24"/>
                <w:szCs w:val="24"/>
              </w:rPr>
              <w:t>分值</w:t>
            </w:r>
          </w:p>
        </w:tc>
        <w:tc>
          <w:tcPr>
            <w:tcW w:w="4929" w:type="dxa"/>
            <w:vAlign w:val="center"/>
          </w:tcPr>
          <w:p>
            <w:pPr>
              <w:widowControl/>
              <w:overflowPunct w:val="0"/>
              <w:adjustRightInd w:val="0"/>
              <w:snapToGrid w:val="0"/>
              <w:spacing w:line="240" w:lineRule="auto"/>
              <w:jc w:val="center"/>
              <w:rPr>
                <w:color w:val="000000"/>
                <w:kern w:val="0"/>
                <w:sz w:val="24"/>
                <w:szCs w:val="24"/>
              </w:rPr>
            </w:pPr>
            <w:r>
              <w:rPr>
                <w:rFonts w:hint="eastAsia"/>
                <w:color w:val="000000"/>
                <w:kern w:val="0"/>
                <w:sz w:val="24"/>
                <w:szCs w:val="24"/>
              </w:rPr>
              <w:t>评分内容参考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802" w:type="dxa"/>
            <w:vMerge w:val="restart"/>
            <w:vAlign w:val="center"/>
          </w:tcPr>
          <w:p>
            <w:pPr>
              <w:widowControl/>
              <w:overflowPunct w:val="0"/>
              <w:adjustRightInd w:val="0"/>
              <w:snapToGrid w:val="0"/>
              <w:spacing w:line="240" w:lineRule="auto"/>
              <w:jc w:val="center"/>
              <w:rPr>
                <w:color w:val="000000"/>
                <w:kern w:val="0"/>
                <w:sz w:val="24"/>
                <w:szCs w:val="24"/>
              </w:rPr>
            </w:pPr>
            <w:r>
              <w:rPr>
                <w:rFonts w:hint="eastAsia"/>
                <w:color w:val="000000"/>
                <w:kern w:val="0"/>
                <w:sz w:val="24"/>
                <w:szCs w:val="24"/>
              </w:rPr>
              <w:t>1</w:t>
            </w:r>
          </w:p>
        </w:tc>
        <w:tc>
          <w:tcPr>
            <w:tcW w:w="1056" w:type="dxa"/>
            <w:vMerge w:val="restart"/>
            <w:vAlign w:val="center"/>
          </w:tcPr>
          <w:p>
            <w:pPr>
              <w:widowControl/>
              <w:overflowPunct w:val="0"/>
              <w:adjustRightInd w:val="0"/>
              <w:snapToGrid w:val="0"/>
              <w:spacing w:line="240" w:lineRule="auto"/>
              <w:jc w:val="center"/>
              <w:rPr>
                <w:color w:val="000000"/>
                <w:kern w:val="0"/>
                <w:sz w:val="24"/>
                <w:szCs w:val="24"/>
              </w:rPr>
            </w:pPr>
            <w:r>
              <w:rPr>
                <w:rFonts w:hint="eastAsia"/>
                <w:color w:val="000000"/>
                <w:kern w:val="0"/>
                <w:sz w:val="24"/>
                <w:szCs w:val="24"/>
              </w:rPr>
              <w:t>企业能力（25）</w:t>
            </w:r>
          </w:p>
        </w:tc>
        <w:tc>
          <w:tcPr>
            <w:tcW w:w="1067" w:type="dxa"/>
            <w:vAlign w:val="center"/>
          </w:tcPr>
          <w:p>
            <w:pPr>
              <w:widowControl/>
              <w:overflowPunct w:val="0"/>
              <w:adjustRightInd w:val="0"/>
              <w:snapToGrid w:val="0"/>
              <w:spacing w:line="240" w:lineRule="auto"/>
              <w:jc w:val="center"/>
              <w:rPr>
                <w:color w:val="000000"/>
                <w:kern w:val="0"/>
                <w:sz w:val="24"/>
                <w:szCs w:val="24"/>
              </w:rPr>
            </w:pPr>
            <w:r>
              <w:rPr>
                <w:rFonts w:hint="eastAsia"/>
                <w:color w:val="000000"/>
                <w:kern w:val="0"/>
                <w:sz w:val="24"/>
                <w:szCs w:val="24"/>
              </w:rPr>
              <w:t>投资能力</w:t>
            </w:r>
          </w:p>
        </w:tc>
        <w:tc>
          <w:tcPr>
            <w:tcW w:w="802" w:type="dxa"/>
            <w:vAlign w:val="center"/>
          </w:tcPr>
          <w:p>
            <w:pPr>
              <w:widowControl/>
              <w:overflowPunct w:val="0"/>
              <w:adjustRightInd w:val="0"/>
              <w:snapToGrid w:val="0"/>
              <w:spacing w:line="240" w:lineRule="auto"/>
              <w:jc w:val="center"/>
              <w:rPr>
                <w:color w:val="000000"/>
                <w:kern w:val="0"/>
                <w:sz w:val="24"/>
                <w:szCs w:val="24"/>
              </w:rPr>
            </w:pPr>
            <w:r>
              <w:rPr>
                <w:rFonts w:hint="eastAsia"/>
                <w:color w:val="000000"/>
                <w:kern w:val="0"/>
                <w:sz w:val="24"/>
                <w:szCs w:val="24"/>
              </w:rPr>
              <w:t>自定</w:t>
            </w:r>
          </w:p>
        </w:tc>
        <w:tc>
          <w:tcPr>
            <w:tcW w:w="4929" w:type="dxa"/>
            <w:vAlign w:val="center"/>
          </w:tcPr>
          <w:p>
            <w:pPr>
              <w:widowControl/>
              <w:overflowPunct w:val="0"/>
              <w:adjustRightInd w:val="0"/>
              <w:snapToGrid w:val="0"/>
              <w:spacing w:line="240" w:lineRule="auto"/>
              <w:jc w:val="left"/>
              <w:rPr>
                <w:color w:val="000000"/>
                <w:kern w:val="0"/>
                <w:sz w:val="24"/>
                <w:szCs w:val="24"/>
              </w:rPr>
            </w:pPr>
            <w:r>
              <w:rPr>
                <w:rFonts w:hint="eastAsia"/>
                <w:color w:val="000000"/>
                <w:kern w:val="0"/>
                <w:sz w:val="24"/>
                <w:szCs w:val="24"/>
              </w:rPr>
              <w:t>申报项目资本金比例，投资企业总资产、企业净资产等。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802" w:type="dxa"/>
            <w:vMerge w:val="continue"/>
            <w:vAlign w:val="center"/>
          </w:tcPr>
          <w:p>
            <w:pPr>
              <w:widowControl/>
              <w:overflowPunct w:val="0"/>
              <w:adjustRightInd w:val="0"/>
              <w:snapToGrid w:val="0"/>
              <w:spacing w:line="240" w:lineRule="auto"/>
              <w:jc w:val="left"/>
              <w:rPr>
                <w:color w:val="000000"/>
                <w:kern w:val="0"/>
                <w:sz w:val="24"/>
                <w:szCs w:val="24"/>
              </w:rPr>
            </w:pPr>
          </w:p>
        </w:tc>
        <w:tc>
          <w:tcPr>
            <w:tcW w:w="1056" w:type="dxa"/>
            <w:vMerge w:val="continue"/>
            <w:vAlign w:val="center"/>
          </w:tcPr>
          <w:p>
            <w:pPr>
              <w:widowControl/>
              <w:overflowPunct w:val="0"/>
              <w:adjustRightInd w:val="0"/>
              <w:snapToGrid w:val="0"/>
              <w:spacing w:line="240" w:lineRule="auto"/>
              <w:jc w:val="left"/>
              <w:rPr>
                <w:color w:val="000000"/>
                <w:kern w:val="0"/>
                <w:sz w:val="24"/>
                <w:szCs w:val="24"/>
              </w:rPr>
            </w:pPr>
          </w:p>
        </w:tc>
        <w:tc>
          <w:tcPr>
            <w:tcW w:w="1067" w:type="dxa"/>
            <w:vAlign w:val="center"/>
          </w:tcPr>
          <w:p>
            <w:pPr>
              <w:widowControl/>
              <w:overflowPunct w:val="0"/>
              <w:adjustRightInd w:val="0"/>
              <w:snapToGrid w:val="0"/>
              <w:spacing w:line="240" w:lineRule="auto"/>
              <w:jc w:val="center"/>
              <w:rPr>
                <w:color w:val="000000"/>
                <w:kern w:val="0"/>
                <w:sz w:val="24"/>
                <w:szCs w:val="24"/>
              </w:rPr>
            </w:pPr>
            <w:r>
              <w:rPr>
                <w:rFonts w:hint="eastAsia"/>
                <w:color w:val="000000"/>
                <w:kern w:val="0"/>
                <w:sz w:val="24"/>
                <w:szCs w:val="24"/>
              </w:rPr>
              <w:t>业绩</w:t>
            </w:r>
          </w:p>
        </w:tc>
        <w:tc>
          <w:tcPr>
            <w:tcW w:w="802" w:type="dxa"/>
            <w:vAlign w:val="center"/>
          </w:tcPr>
          <w:p>
            <w:pPr>
              <w:widowControl/>
              <w:overflowPunct w:val="0"/>
              <w:adjustRightInd w:val="0"/>
              <w:snapToGrid w:val="0"/>
              <w:spacing w:line="240" w:lineRule="auto"/>
              <w:jc w:val="center"/>
              <w:rPr>
                <w:color w:val="000000"/>
                <w:kern w:val="0"/>
                <w:sz w:val="24"/>
                <w:szCs w:val="24"/>
              </w:rPr>
            </w:pPr>
            <w:r>
              <w:rPr>
                <w:rFonts w:hint="eastAsia"/>
                <w:color w:val="000000"/>
                <w:kern w:val="0"/>
                <w:sz w:val="24"/>
                <w:szCs w:val="24"/>
              </w:rPr>
              <w:t>自定</w:t>
            </w:r>
          </w:p>
        </w:tc>
        <w:tc>
          <w:tcPr>
            <w:tcW w:w="4929" w:type="dxa"/>
            <w:vAlign w:val="center"/>
          </w:tcPr>
          <w:p>
            <w:pPr>
              <w:widowControl/>
              <w:overflowPunct w:val="0"/>
              <w:adjustRightInd w:val="0"/>
              <w:snapToGrid w:val="0"/>
              <w:spacing w:line="240" w:lineRule="auto"/>
              <w:jc w:val="left"/>
              <w:rPr>
                <w:color w:val="000000"/>
                <w:kern w:val="0"/>
                <w:sz w:val="24"/>
                <w:szCs w:val="24"/>
              </w:rPr>
            </w:pPr>
            <w:r>
              <w:rPr>
                <w:rFonts w:hint="eastAsia"/>
                <w:color w:val="000000"/>
                <w:kern w:val="0"/>
                <w:sz w:val="24"/>
                <w:szCs w:val="24"/>
              </w:rPr>
              <w:t>原则上仅考虑国内风电并网业绩，本省级区域业绩分值比例不应超过35%。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802" w:type="dxa"/>
            <w:vMerge w:val="continue"/>
            <w:vAlign w:val="center"/>
          </w:tcPr>
          <w:p>
            <w:pPr>
              <w:widowControl/>
              <w:overflowPunct w:val="0"/>
              <w:adjustRightInd w:val="0"/>
              <w:snapToGrid w:val="0"/>
              <w:spacing w:line="240" w:lineRule="auto"/>
              <w:jc w:val="left"/>
              <w:rPr>
                <w:color w:val="000000"/>
                <w:kern w:val="0"/>
                <w:sz w:val="24"/>
                <w:szCs w:val="24"/>
              </w:rPr>
            </w:pPr>
          </w:p>
        </w:tc>
        <w:tc>
          <w:tcPr>
            <w:tcW w:w="1056" w:type="dxa"/>
            <w:vMerge w:val="continue"/>
            <w:vAlign w:val="center"/>
          </w:tcPr>
          <w:p>
            <w:pPr>
              <w:widowControl/>
              <w:overflowPunct w:val="0"/>
              <w:adjustRightInd w:val="0"/>
              <w:snapToGrid w:val="0"/>
              <w:spacing w:line="240" w:lineRule="auto"/>
              <w:jc w:val="left"/>
              <w:rPr>
                <w:color w:val="000000"/>
                <w:kern w:val="0"/>
                <w:sz w:val="24"/>
                <w:szCs w:val="24"/>
              </w:rPr>
            </w:pPr>
          </w:p>
        </w:tc>
        <w:tc>
          <w:tcPr>
            <w:tcW w:w="1067" w:type="dxa"/>
            <w:vAlign w:val="center"/>
          </w:tcPr>
          <w:p>
            <w:pPr>
              <w:widowControl/>
              <w:overflowPunct w:val="0"/>
              <w:adjustRightInd w:val="0"/>
              <w:snapToGrid w:val="0"/>
              <w:spacing w:line="240" w:lineRule="auto"/>
              <w:jc w:val="center"/>
              <w:rPr>
                <w:color w:val="000000"/>
                <w:kern w:val="0"/>
                <w:sz w:val="24"/>
                <w:szCs w:val="24"/>
              </w:rPr>
            </w:pPr>
            <w:r>
              <w:rPr>
                <w:rFonts w:hint="eastAsia"/>
                <w:color w:val="000000"/>
                <w:kern w:val="0"/>
                <w:sz w:val="24"/>
                <w:szCs w:val="24"/>
              </w:rPr>
              <w:t>技术管理能力</w:t>
            </w:r>
          </w:p>
        </w:tc>
        <w:tc>
          <w:tcPr>
            <w:tcW w:w="802" w:type="dxa"/>
            <w:vAlign w:val="center"/>
          </w:tcPr>
          <w:p>
            <w:pPr>
              <w:widowControl/>
              <w:overflowPunct w:val="0"/>
              <w:adjustRightInd w:val="0"/>
              <w:snapToGrid w:val="0"/>
              <w:spacing w:line="240" w:lineRule="auto"/>
              <w:jc w:val="center"/>
              <w:rPr>
                <w:color w:val="000000"/>
                <w:kern w:val="0"/>
                <w:sz w:val="24"/>
                <w:szCs w:val="24"/>
              </w:rPr>
            </w:pPr>
            <w:r>
              <w:rPr>
                <w:rFonts w:hint="eastAsia"/>
                <w:color w:val="000000"/>
                <w:kern w:val="0"/>
                <w:sz w:val="24"/>
                <w:szCs w:val="24"/>
              </w:rPr>
              <w:t>自定</w:t>
            </w:r>
          </w:p>
        </w:tc>
        <w:tc>
          <w:tcPr>
            <w:tcW w:w="4929" w:type="dxa"/>
            <w:vAlign w:val="center"/>
          </w:tcPr>
          <w:p>
            <w:pPr>
              <w:widowControl/>
              <w:overflowPunct w:val="0"/>
              <w:adjustRightInd w:val="0"/>
              <w:snapToGrid w:val="0"/>
              <w:spacing w:line="240" w:lineRule="auto"/>
              <w:jc w:val="left"/>
              <w:rPr>
                <w:color w:val="000000"/>
                <w:kern w:val="0"/>
                <w:sz w:val="24"/>
                <w:szCs w:val="24"/>
              </w:rPr>
            </w:pPr>
            <w:r>
              <w:rPr>
                <w:rFonts w:hint="eastAsia"/>
                <w:color w:val="000000"/>
                <w:kern w:val="0"/>
                <w:sz w:val="24"/>
                <w:szCs w:val="24"/>
              </w:rPr>
              <w:t>企业技术创新能力，已运行风电项目资产负债率、利润率等。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802" w:type="dxa"/>
            <w:vMerge w:val="continue"/>
            <w:vAlign w:val="center"/>
          </w:tcPr>
          <w:p>
            <w:pPr>
              <w:widowControl/>
              <w:overflowPunct w:val="0"/>
              <w:adjustRightInd w:val="0"/>
              <w:snapToGrid w:val="0"/>
              <w:spacing w:line="240" w:lineRule="auto"/>
              <w:jc w:val="left"/>
              <w:rPr>
                <w:color w:val="000000"/>
                <w:kern w:val="0"/>
                <w:sz w:val="24"/>
                <w:szCs w:val="24"/>
              </w:rPr>
            </w:pPr>
          </w:p>
        </w:tc>
        <w:tc>
          <w:tcPr>
            <w:tcW w:w="1056" w:type="dxa"/>
            <w:vMerge w:val="continue"/>
            <w:vAlign w:val="center"/>
          </w:tcPr>
          <w:p>
            <w:pPr>
              <w:widowControl/>
              <w:overflowPunct w:val="0"/>
              <w:adjustRightInd w:val="0"/>
              <w:snapToGrid w:val="0"/>
              <w:spacing w:line="240" w:lineRule="auto"/>
              <w:jc w:val="left"/>
              <w:rPr>
                <w:color w:val="000000"/>
                <w:kern w:val="0"/>
                <w:sz w:val="24"/>
                <w:szCs w:val="24"/>
              </w:rPr>
            </w:pPr>
          </w:p>
        </w:tc>
        <w:tc>
          <w:tcPr>
            <w:tcW w:w="1067" w:type="dxa"/>
            <w:vAlign w:val="center"/>
          </w:tcPr>
          <w:p>
            <w:pPr>
              <w:widowControl/>
              <w:overflowPunct w:val="0"/>
              <w:adjustRightInd w:val="0"/>
              <w:snapToGrid w:val="0"/>
              <w:spacing w:line="240" w:lineRule="auto"/>
              <w:jc w:val="center"/>
              <w:rPr>
                <w:color w:val="000000"/>
                <w:kern w:val="0"/>
                <w:sz w:val="24"/>
                <w:szCs w:val="24"/>
              </w:rPr>
            </w:pPr>
            <w:r>
              <w:rPr>
                <w:rFonts w:hint="eastAsia"/>
                <w:color w:val="000000"/>
                <w:kern w:val="0"/>
                <w:sz w:val="24"/>
                <w:szCs w:val="24"/>
              </w:rPr>
              <w:t>履约评价</w:t>
            </w:r>
          </w:p>
        </w:tc>
        <w:tc>
          <w:tcPr>
            <w:tcW w:w="802" w:type="dxa"/>
            <w:vAlign w:val="center"/>
          </w:tcPr>
          <w:p>
            <w:pPr>
              <w:widowControl/>
              <w:overflowPunct w:val="0"/>
              <w:adjustRightInd w:val="0"/>
              <w:snapToGrid w:val="0"/>
              <w:spacing w:line="240" w:lineRule="auto"/>
              <w:jc w:val="center"/>
              <w:rPr>
                <w:color w:val="000000"/>
                <w:kern w:val="0"/>
                <w:sz w:val="24"/>
                <w:szCs w:val="24"/>
              </w:rPr>
            </w:pPr>
            <w:r>
              <w:rPr>
                <w:rFonts w:hint="eastAsia"/>
                <w:color w:val="000000"/>
                <w:kern w:val="0"/>
                <w:sz w:val="24"/>
                <w:szCs w:val="24"/>
              </w:rPr>
              <w:t>自定</w:t>
            </w:r>
          </w:p>
        </w:tc>
        <w:tc>
          <w:tcPr>
            <w:tcW w:w="4929" w:type="dxa"/>
            <w:vAlign w:val="center"/>
          </w:tcPr>
          <w:p>
            <w:pPr>
              <w:widowControl/>
              <w:overflowPunct w:val="0"/>
              <w:adjustRightInd w:val="0"/>
              <w:snapToGrid w:val="0"/>
              <w:spacing w:line="240" w:lineRule="auto"/>
              <w:jc w:val="left"/>
              <w:rPr>
                <w:color w:val="000000"/>
                <w:kern w:val="0"/>
                <w:sz w:val="24"/>
                <w:szCs w:val="24"/>
              </w:rPr>
            </w:pPr>
            <w:r>
              <w:rPr>
                <w:rFonts w:hint="eastAsia"/>
                <w:color w:val="000000"/>
                <w:kern w:val="0"/>
                <w:sz w:val="24"/>
                <w:szCs w:val="24"/>
              </w:rPr>
              <w:t>近三年或正在实施项目的履约情况，社会信誉情况。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8" w:hRule="atLeast"/>
          <w:jc w:val="center"/>
        </w:trPr>
        <w:tc>
          <w:tcPr>
            <w:tcW w:w="802" w:type="dxa"/>
            <w:vMerge w:val="restart"/>
            <w:vAlign w:val="center"/>
          </w:tcPr>
          <w:p>
            <w:pPr>
              <w:widowControl/>
              <w:overflowPunct w:val="0"/>
              <w:adjustRightInd w:val="0"/>
              <w:snapToGrid w:val="0"/>
              <w:spacing w:line="240" w:lineRule="auto"/>
              <w:jc w:val="center"/>
              <w:rPr>
                <w:color w:val="000000"/>
                <w:kern w:val="0"/>
                <w:sz w:val="24"/>
                <w:szCs w:val="24"/>
              </w:rPr>
            </w:pPr>
            <w:r>
              <w:rPr>
                <w:rFonts w:hint="eastAsia"/>
                <w:color w:val="000000"/>
                <w:kern w:val="0"/>
                <w:sz w:val="24"/>
                <w:szCs w:val="24"/>
              </w:rPr>
              <w:t>2</w:t>
            </w:r>
          </w:p>
        </w:tc>
        <w:tc>
          <w:tcPr>
            <w:tcW w:w="1056" w:type="dxa"/>
            <w:vMerge w:val="restart"/>
            <w:vAlign w:val="center"/>
          </w:tcPr>
          <w:p>
            <w:pPr>
              <w:widowControl/>
              <w:overflowPunct w:val="0"/>
              <w:adjustRightInd w:val="0"/>
              <w:snapToGrid w:val="0"/>
              <w:spacing w:line="240" w:lineRule="auto"/>
              <w:jc w:val="center"/>
              <w:rPr>
                <w:color w:val="000000"/>
                <w:kern w:val="0"/>
                <w:sz w:val="24"/>
                <w:szCs w:val="24"/>
              </w:rPr>
            </w:pPr>
            <w:r>
              <w:rPr>
                <w:rFonts w:hint="eastAsia"/>
                <w:color w:val="000000"/>
                <w:kern w:val="0"/>
                <w:sz w:val="24"/>
                <w:szCs w:val="24"/>
              </w:rPr>
              <w:t>设备先进性（15）</w:t>
            </w:r>
          </w:p>
        </w:tc>
        <w:tc>
          <w:tcPr>
            <w:tcW w:w="1067" w:type="dxa"/>
            <w:vMerge w:val="restart"/>
            <w:vAlign w:val="center"/>
          </w:tcPr>
          <w:p>
            <w:pPr>
              <w:widowControl/>
              <w:overflowPunct w:val="0"/>
              <w:adjustRightInd w:val="0"/>
              <w:snapToGrid w:val="0"/>
              <w:spacing w:line="240" w:lineRule="auto"/>
              <w:jc w:val="center"/>
              <w:rPr>
                <w:color w:val="000000"/>
                <w:kern w:val="0"/>
                <w:sz w:val="24"/>
                <w:szCs w:val="24"/>
              </w:rPr>
            </w:pPr>
            <w:r>
              <w:rPr>
                <w:rFonts w:hint="eastAsia"/>
                <w:color w:val="000000"/>
                <w:kern w:val="0"/>
                <w:sz w:val="24"/>
                <w:szCs w:val="24"/>
              </w:rPr>
              <w:t>重点设备先进性</w:t>
            </w:r>
          </w:p>
        </w:tc>
        <w:tc>
          <w:tcPr>
            <w:tcW w:w="802" w:type="dxa"/>
            <w:vMerge w:val="restart"/>
            <w:vAlign w:val="center"/>
          </w:tcPr>
          <w:p>
            <w:pPr>
              <w:widowControl/>
              <w:overflowPunct w:val="0"/>
              <w:adjustRightInd w:val="0"/>
              <w:snapToGrid w:val="0"/>
              <w:spacing w:line="240" w:lineRule="auto"/>
              <w:jc w:val="center"/>
              <w:rPr>
                <w:color w:val="000000"/>
                <w:kern w:val="0"/>
                <w:sz w:val="24"/>
                <w:szCs w:val="24"/>
              </w:rPr>
            </w:pPr>
            <w:r>
              <w:rPr>
                <w:rFonts w:hint="eastAsia"/>
                <w:color w:val="000000"/>
                <w:kern w:val="0"/>
                <w:sz w:val="24"/>
                <w:szCs w:val="24"/>
              </w:rPr>
              <w:t>15</w:t>
            </w:r>
          </w:p>
        </w:tc>
        <w:tc>
          <w:tcPr>
            <w:tcW w:w="4929" w:type="dxa"/>
            <w:vMerge w:val="restart"/>
            <w:vAlign w:val="center"/>
          </w:tcPr>
          <w:p>
            <w:pPr>
              <w:widowControl/>
              <w:overflowPunct w:val="0"/>
              <w:adjustRightInd w:val="0"/>
              <w:snapToGrid w:val="0"/>
              <w:spacing w:line="240" w:lineRule="auto"/>
              <w:rPr>
                <w:color w:val="000000"/>
                <w:kern w:val="0"/>
                <w:sz w:val="24"/>
                <w:szCs w:val="24"/>
              </w:rPr>
            </w:pPr>
            <w:r>
              <w:rPr>
                <w:rFonts w:hint="eastAsia"/>
                <w:color w:val="000000"/>
                <w:kern w:val="0"/>
                <w:sz w:val="24"/>
                <w:szCs w:val="24"/>
              </w:rPr>
              <w:t>风电机组单机容量，风电机组整机认证情况，风电机组风能利用系数、动态功率曲线保证承诺等。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8" w:hRule="atLeast"/>
          <w:jc w:val="center"/>
        </w:trPr>
        <w:tc>
          <w:tcPr>
            <w:tcW w:w="802" w:type="dxa"/>
            <w:vMerge w:val="continue"/>
            <w:vAlign w:val="center"/>
          </w:tcPr>
          <w:p>
            <w:pPr>
              <w:keepNext/>
              <w:keepLines/>
              <w:widowControl/>
              <w:overflowPunct w:val="0"/>
              <w:adjustRightInd w:val="0"/>
              <w:snapToGrid w:val="0"/>
              <w:spacing w:line="240" w:lineRule="auto"/>
              <w:jc w:val="left"/>
              <w:outlineLvl w:val="2"/>
              <w:rPr>
                <w:color w:val="000000"/>
                <w:kern w:val="0"/>
                <w:sz w:val="24"/>
                <w:szCs w:val="24"/>
              </w:rPr>
            </w:pPr>
          </w:p>
        </w:tc>
        <w:tc>
          <w:tcPr>
            <w:tcW w:w="1056" w:type="dxa"/>
            <w:vMerge w:val="continue"/>
            <w:vAlign w:val="center"/>
          </w:tcPr>
          <w:p>
            <w:pPr>
              <w:keepNext/>
              <w:keepLines/>
              <w:widowControl/>
              <w:overflowPunct w:val="0"/>
              <w:adjustRightInd w:val="0"/>
              <w:snapToGrid w:val="0"/>
              <w:spacing w:line="240" w:lineRule="auto"/>
              <w:jc w:val="left"/>
              <w:outlineLvl w:val="2"/>
              <w:rPr>
                <w:color w:val="000000"/>
                <w:kern w:val="0"/>
                <w:sz w:val="24"/>
                <w:szCs w:val="24"/>
              </w:rPr>
            </w:pPr>
          </w:p>
        </w:tc>
        <w:tc>
          <w:tcPr>
            <w:tcW w:w="1067" w:type="dxa"/>
            <w:vMerge w:val="continue"/>
            <w:vAlign w:val="center"/>
          </w:tcPr>
          <w:p>
            <w:pPr>
              <w:keepNext/>
              <w:keepLines/>
              <w:widowControl/>
              <w:overflowPunct w:val="0"/>
              <w:adjustRightInd w:val="0"/>
              <w:snapToGrid w:val="0"/>
              <w:spacing w:line="240" w:lineRule="auto"/>
              <w:jc w:val="left"/>
              <w:outlineLvl w:val="2"/>
              <w:rPr>
                <w:color w:val="000000"/>
                <w:kern w:val="0"/>
                <w:sz w:val="24"/>
                <w:szCs w:val="24"/>
              </w:rPr>
            </w:pPr>
          </w:p>
        </w:tc>
        <w:tc>
          <w:tcPr>
            <w:tcW w:w="802" w:type="dxa"/>
            <w:vMerge w:val="continue"/>
            <w:vAlign w:val="center"/>
          </w:tcPr>
          <w:p>
            <w:pPr>
              <w:keepNext/>
              <w:keepLines/>
              <w:widowControl/>
              <w:overflowPunct w:val="0"/>
              <w:adjustRightInd w:val="0"/>
              <w:snapToGrid w:val="0"/>
              <w:spacing w:line="240" w:lineRule="auto"/>
              <w:jc w:val="left"/>
              <w:outlineLvl w:val="2"/>
              <w:rPr>
                <w:color w:val="000000"/>
                <w:kern w:val="0"/>
                <w:sz w:val="24"/>
                <w:szCs w:val="24"/>
              </w:rPr>
            </w:pPr>
          </w:p>
        </w:tc>
        <w:tc>
          <w:tcPr>
            <w:tcW w:w="4929" w:type="dxa"/>
            <w:vMerge w:val="continue"/>
            <w:vAlign w:val="center"/>
          </w:tcPr>
          <w:p>
            <w:pPr>
              <w:keepNext/>
              <w:keepLines/>
              <w:widowControl/>
              <w:overflowPunct w:val="0"/>
              <w:adjustRightInd w:val="0"/>
              <w:snapToGrid w:val="0"/>
              <w:spacing w:line="240" w:lineRule="auto"/>
              <w:jc w:val="left"/>
              <w:outlineLvl w:val="2"/>
              <w:rPr>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1" w:hRule="atLeast"/>
          <w:jc w:val="center"/>
        </w:trPr>
        <w:tc>
          <w:tcPr>
            <w:tcW w:w="802" w:type="dxa"/>
            <w:vAlign w:val="center"/>
          </w:tcPr>
          <w:p>
            <w:pPr>
              <w:widowControl/>
              <w:overflowPunct w:val="0"/>
              <w:adjustRightInd w:val="0"/>
              <w:snapToGrid w:val="0"/>
              <w:spacing w:line="240" w:lineRule="auto"/>
              <w:jc w:val="center"/>
              <w:rPr>
                <w:color w:val="000000"/>
                <w:kern w:val="0"/>
                <w:sz w:val="24"/>
                <w:szCs w:val="24"/>
              </w:rPr>
            </w:pPr>
            <w:r>
              <w:rPr>
                <w:rFonts w:hint="eastAsia"/>
                <w:color w:val="000000"/>
                <w:kern w:val="0"/>
                <w:sz w:val="24"/>
                <w:szCs w:val="24"/>
              </w:rPr>
              <w:t>3</w:t>
            </w:r>
          </w:p>
        </w:tc>
        <w:tc>
          <w:tcPr>
            <w:tcW w:w="1056" w:type="dxa"/>
            <w:vAlign w:val="center"/>
          </w:tcPr>
          <w:p>
            <w:pPr>
              <w:widowControl/>
              <w:overflowPunct w:val="0"/>
              <w:adjustRightInd w:val="0"/>
              <w:snapToGrid w:val="0"/>
              <w:spacing w:line="240" w:lineRule="auto"/>
              <w:jc w:val="center"/>
              <w:rPr>
                <w:color w:val="000000"/>
                <w:kern w:val="0"/>
                <w:sz w:val="24"/>
                <w:szCs w:val="24"/>
              </w:rPr>
            </w:pPr>
            <w:r>
              <w:rPr>
                <w:rFonts w:hint="eastAsia"/>
                <w:color w:val="000000"/>
                <w:kern w:val="0"/>
                <w:sz w:val="24"/>
                <w:szCs w:val="24"/>
              </w:rPr>
              <w:t>技术方案（20）</w:t>
            </w:r>
          </w:p>
        </w:tc>
        <w:tc>
          <w:tcPr>
            <w:tcW w:w="1067" w:type="dxa"/>
            <w:vAlign w:val="center"/>
          </w:tcPr>
          <w:p>
            <w:pPr>
              <w:widowControl/>
              <w:overflowPunct w:val="0"/>
              <w:adjustRightInd w:val="0"/>
              <w:snapToGrid w:val="0"/>
              <w:spacing w:line="240" w:lineRule="auto"/>
              <w:jc w:val="center"/>
              <w:rPr>
                <w:color w:val="000000"/>
                <w:kern w:val="0"/>
                <w:sz w:val="24"/>
                <w:szCs w:val="24"/>
              </w:rPr>
            </w:pPr>
            <w:r>
              <w:rPr>
                <w:rFonts w:hint="eastAsia"/>
                <w:color w:val="000000"/>
                <w:kern w:val="0"/>
                <w:sz w:val="24"/>
                <w:szCs w:val="24"/>
              </w:rPr>
              <w:t>项目技术方案评价</w:t>
            </w:r>
          </w:p>
        </w:tc>
        <w:tc>
          <w:tcPr>
            <w:tcW w:w="802" w:type="dxa"/>
            <w:vAlign w:val="center"/>
          </w:tcPr>
          <w:p>
            <w:pPr>
              <w:widowControl/>
              <w:overflowPunct w:val="0"/>
              <w:adjustRightInd w:val="0"/>
              <w:snapToGrid w:val="0"/>
              <w:spacing w:line="240" w:lineRule="auto"/>
              <w:jc w:val="center"/>
              <w:rPr>
                <w:color w:val="000000"/>
                <w:kern w:val="0"/>
                <w:sz w:val="24"/>
                <w:szCs w:val="24"/>
              </w:rPr>
            </w:pPr>
            <w:r>
              <w:rPr>
                <w:rFonts w:hint="eastAsia"/>
                <w:color w:val="000000"/>
                <w:kern w:val="0"/>
                <w:sz w:val="24"/>
                <w:szCs w:val="24"/>
              </w:rPr>
              <w:t>20</w:t>
            </w:r>
          </w:p>
        </w:tc>
        <w:tc>
          <w:tcPr>
            <w:tcW w:w="4929" w:type="dxa"/>
            <w:vAlign w:val="center"/>
          </w:tcPr>
          <w:p>
            <w:pPr>
              <w:widowControl/>
              <w:overflowPunct w:val="0"/>
              <w:adjustRightInd w:val="0"/>
              <w:snapToGrid w:val="0"/>
              <w:spacing w:line="240" w:lineRule="auto"/>
              <w:jc w:val="left"/>
              <w:rPr>
                <w:color w:val="000000"/>
                <w:kern w:val="0"/>
                <w:sz w:val="24"/>
                <w:szCs w:val="24"/>
              </w:rPr>
            </w:pPr>
            <w:r>
              <w:rPr>
                <w:rFonts w:hint="eastAsia"/>
                <w:color w:val="000000"/>
                <w:kern w:val="0"/>
                <w:sz w:val="24"/>
                <w:szCs w:val="24"/>
              </w:rPr>
              <w:t>风能资源高效利用，风电场智能化设计，退役及拆除方案，方案技术经济合理性。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2" w:hRule="atLeast"/>
          <w:jc w:val="center"/>
        </w:trPr>
        <w:tc>
          <w:tcPr>
            <w:tcW w:w="802" w:type="dxa"/>
            <w:vAlign w:val="center"/>
          </w:tcPr>
          <w:p>
            <w:pPr>
              <w:widowControl/>
              <w:overflowPunct w:val="0"/>
              <w:adjustRightInd w:val="0"/>
              <w:snapToGrid w:val="0"/>
              <w:spacing w:line="240" w:lineRule="auto"/>
              <w:jc w:val="center"/>
              <w:rPr>
                <w:color w:val="000000"/>
                <w:kern w:val="0"/>
                <w:sz w:val="24"/>
                <w:szCs w:val="24"/>
              </w:rPr>
            </w:pPr>
            <w:r>
              <w:rPr>
                <w:rFonts w:hint="eastAsia"/>
                <w:color w:val="000000"/>
                <w:kern w:val="0"/>
                <w:sz w:val="24"/>
                <w:szCs w:val="24"/>
              </w:rPr>
              <w:t>4</w:t>
            </w:r>
          </w:p>
        </w:tc>
        <w:tc>
          <w:tcPr>
            <w:tcW w:w="1056" w:type="dxa"/>
            <w:vAlign w:val="center"/>
          </w:tcPr>
          <w:p>
            <w:pPr>
              <w:widowControl/>
              <w:overflowPunct w:val="0"/>
              <w:adjustRightInd w:val="0"/>
              <w:snapToGrid w:val="0"/>
              <w:spacing w:line="240" w:lineRule="auto"/>
              <w:jc w:val="center"/>
              <w:rPr>
                <w:color w:val="000000"/>
                <w:kern w:val="0"/>
                <w:sz w:val="24"/>
                <w:szCs w:val="24"/>
              </w:rPr>
            </w:pPr>
            <w:r>
              <w:rPr>
                <w:rFonts w:hint="eastAsia"/>
                <w:color w:val="000000"/>
                <w:kern w:val="0"/>
                <w:sz w:val="24"/>
                <w:szCs w:val="24"/>
              </w:rPr>
              <w:t>申报电价（40）</w:t>
            </w:r>
          </w:p>
        </w:tc>
        <w:tc>
          <w:tcPr>
            <w:tcW w:w="1067" w:type="dxa"/>
            <w:vAlign w:val="center"/>
          </w:tcPr>
          <w:p>
            <w:pPr>
              <w:widowControl/>
              <w:overflowPunct w:val="0"/>
              <w:adjustRightInd w:val="0"/>
              <w:snapToGrid w:val="0"/>
              <w:spacing w:line="240" w:lineRule="auto"/>
              <w:jc w:val="center"/>
              <w:rPr>
                <w:color w:val="000000"/>
                <w:kern w:val="0"/>
                <w:sz w:val="24"/>
                <w:szCs w:val="24"/>
              </w:rPr>
            </w:pPr>
            <w:r>
              <w:rPr>
                <w:rFonts w:hint="eastAsia"/>
                <w:color w:val="000000"/>
                <w:kern w:val="0"/>
                <w:sz w:val="24"/>
                <w:szCs w:val="24"/>
              </w:rPr>
              <w:t>申报电价竞争力</w:t>
            </w:r>
          </w:p>
        </w:tc>
        <w:tc>
          <w:tcPr>
            <w:tcW w:w="802" w:type="dxa"/>
            <w:vAlign w:val="center"/>
          </w:tcPr>
          <w:p>
            <w:pPr>
              <w:widowControl/>
              <w:overflowPunct w:val="0"/>
              <w:adjustRightInd w:val="0"/>
              <w:snapToGrid w:val="0"/>
              <w:spacing w:line="240" w:lineRule="auto"/>
              <w:jc w:val="center"/>
              <w:rPr>
                <w:color w:val="000000"/>
                <w:kern w:val="0"/>
                <w:sz w:val="24"/>
                <w:szCs w:val="24"/>
              </w:rPr>
            </w:pPr>
            <w:r>
              <w:rPr>
                <w:rFonts w:hint="eastAsia"/>
                <w:color w:val="000000"/>
                <w:kern w:val="0"/>
                <w:sz w:val="24"/>
                <w:szCs w:val="24"/>
              </w:rPr>
              <w:t>40</w:t>
            </w:r>
          </w:p>
        </w:tc>
        <w:tc>
          <w:tcPr>
            <w:tcW w:w="4929" w:type="dxa"/>
            <w:vAlign w:val="center"/>
          </w:tcPr>
          <w:p>
            <w:pPr>
              <w:widowControl/>
              <w:overflowPunct w:val="0"/>
              <w:adjustRightInd w:val="0"/>
              <w:snapToGrid w:val="0"/>
              <w:spacing w:line="240" w:lineRule="auto"/>
              <w:rPr>
                <w:color w:val="000000"/>
                <w:kern w:val="0"/>
                <w:sz w:val="24"/>
                <w:szCs w:val="24"/>
              </w:rPr>
            </w:pPr>
            <w:r>
              <w:rPr>
                <w:rFonts w:hint="eastAsia"/>
                <w:color w:val="000000"/>
                <w:kern w:val="0"/>
                <w:sz w:val="24"/>
                <w:szCs w:val="24"/>
              </w:rPr>
              <w:t>以所属风能资源区现行风电指导价作为最高限价，根据降价幅度科学评分。不得设置最低报价。</w:t>
            </w:r>
          </w:p>
        </w:tc>
      </w:tr>
    </w:tbl>
    <w:p>
      <w:pPr>
        <w:overflowPunct w:val="0"/>
        <w:adjustRightInd w:val="0"/>
        <w:snapToGrid w:val="0"/>
        <w:ind w:firstLine="600" w:firstLineChars="200"/>
        <w:rPr>
          <w:szCs w:val="30"/>
        </w:rPr>
      </w:pPr>
    </w:p>
    <w:p>
      <w:pPr>
        <w:widowControl/>
        <w:overflowPunct w:val="0"/>
        <w:spacing w:line="240" w:lineRule="auto"/>
        <w:ind w:firstLine="0" w:firstLineChars="0"/>
        <w:jc w:val="left"/>
        <w:textAlignment w:val="auto"/>
        <w:rPr>
          <w:rFonts w:eastAsia="宋体"/>
          <w:sz w:val="18"/>
          <w:szCs w:val="18"/>
        </w:rPr>
      </w:pPr>
    </w:p>
    <w:sectPr>
      <w:headerReference r:id="rId3" w:type="default"/>
      <w:footerReference r:id="rId5" w:type="default"/>
      <w:headerReference r:id="rId4" w:type="even"/>
      <w:footerReference r:id="rId6" w:type="even"/>
      <w:pgSz w:w="11850" w:h="16783"/>
      <w:pgMar w:top="1985" w:right="1616" w:bottom="1814" w:left="1616" w:header="851" w:footer="1474" w:gutter="0"/>
      <w:cols w:space="425" w:num="1"/>
      <w:docGrid w:type="lines" w:linePitch="58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Arial">
    <w:panose1 w:val="020B0604020202020204"/>
    <w:charset w:val="01"/>
    <w:family w:val="decorative"/>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方正仿宋_GBK">
    <w:altName w:val="微软雅黑"/>
    <w:panose1 w:val="03000509000000000000"/>
    <w:charset w:val="86"/>
    <w:family w:val="script"/>
    <w:pitch w:val="default"/>
    <w:sig w:usb0="00000000" w:usb1="00000000" w:usb2="0000000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 w:name="方正楷体_GBK">
    <w:altName w:val="微软雅黑"/>
    <w:panose1 w:val="03000509000000000000"/>
    <w:charset w:val="86"/>
    <w:family w:val="script"/>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swiss"/>
    <w:pitch w:val="default"/>
    <w:sig w:usb0="00000000" w:usb1="00000000" w:usb2="00000000" w:usb3="00000000" w:csb0="00040000" w:csb1="00000000"/>
  </w:font>
  <w:font w:name="楷体_GB2312">
    <w:altName w:val="楷体"/>
    <w:panose1 w:val="02010609030101010101"/>
    <w:charset w:val="86"/>
    <w:family w:val="swiss"/>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 w:name="微软雅黑">
    <w:panose1 w:val="020B0503020204020204"/>
    <w:charset w:val="86"/>
    <w:family w:val="script"/>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swiss"/>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141"/>
      <w:jc w:val="center"/>
      <w:rPr>
        <w:rFonts w:ascii="仿宋_GB2312" w:hAnsi="宋体" w:eastAsia="仿宋_GB2312"/>
        <w:caps/>
        <w:sz w:val="28"/>
        <w:szCs w:val="28"/>
      </w:rPr>
    </w:pPr>
    <w:r>
      <w:rPr>
        <w:rFonts w:ascii="仿宋_GB2312" w:hAnsi="宋体" w:eastAsia="仿宋_GB2312"/>
        <w:caps/>
        <w:sz w:val="28"/>
        <w:szCs w:val="28"/>
      </w:rPr>
      <w:t>—</w:t>
    </w:r>
    <w:r>
      <w:rPr>
        <w:rFonts w:hint="eastAsia" w:ascii="方正仿宋_GBK" w:hAnsi="宋体"/>
        <w:caps/>
        <w:sz w:val="28"/>
        <w:szCs w:val="28"/>
      </w:rPr>
      <w:t xml:space="preserve"> </w:t>
    </w:r>
    <w:r>
      <w:rPr>
        <w:rFonts w:ascii="Times New Roman" w:hAnsi="Times New Roman" w:eastAsia="仿宋_GB2312"/>
        <w:caps/>
        <w:sz w:val="28"/>
        <w:szCs w:val="28"/>
      </w:rPr>
      <w:fldChar w:fldCharType="begin"/>
    </w:r>
    <w:r>
      <w:rPr>
        <w:rFonts w:ascii="Times New Roman" w:hAnsi="Times New Roman" w:eastAsia="仿宋_GB2312"/>
        <w:caps/>
        <w:sz w:val="28"/>
        <w:szCs w:val="28"/>
      </w:rPr>
      <w:instrText xml:space="preserve">PAGE   \* MERGEFORMAT</w:instrText>
    </w:r>
    <w:r>
      <w:rPr>
        <w:rFonts w:ascii="Times New Roman" w:hAnsi="Times New Roman" w:eastAsia="仿宋_GB2312"/>
        <w:caps/>
        <w:sz w:val="28"/>
        <w:szCs w:val="28"/>
      </w:rPr>
      <w:fldChar w:fldCharType="separate"/>
    </w:r>
    <w:r>
      <w:rPr>
        <w:rFonts w:ascii="Times New Roman" w:hAnsi="Times New Roman" w:eastAsia="仿宋_GB2312"/>
        <w:caps/>
        <w:sz w:val="28"/>
        <w:szCs w:val="28"/>
        <w:lang w:val="zh-CN"/>
      </w:rPr>
      <w:t>29</w:t>
    </w:r>
    <w:r>
      <w:rPr>
        <w:rFonts w:ascii="Times New Roman" w:hAnsi="Times New Roman" w:eastAsia="仿宋_GB2312"/>
        <w:caps/>
        <w:sz w:val="28"/>
        <w:szCs w:val="28"/>
      </w:rPr>
      <w:fldChar w:fldCharType="end"/>
    </w:r>
    <w:r>
      <w:rPr>
        <w:rFonts w:hint="eastAsia" w:ascii="方正仿宋_GBK" w:hAnsi="宋体"/>
        <w:caps/>
        <w:sz w:val="28"/>
        <w:szCs w:val="28"/>
      </w:rPr>
      <w:t xml:space="preserve"> </w:t>
    </w:r>
    <w:r>
      <w:rPr>
        <w:rFonts w:ascii="仿宋_GB2312" w:hAnsi="宋体" w:eastAsia="仿宋_GB2312"/>
        <w:caps/>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141" w:firstLine="146" w:firstLineChars="50"/>
      <w:jc w:val="center"/>
      <w:rPr>
        <w:rFonts w:ascii="Times New Roman" w:hAnsi="Times New Roman" w:eastAsia="仿宋_GB2312"/>
        <w:caps/>
        <w:sz w:val="28"/>
        <w:szCs w:val="28"/>
      </w:rPr>
    </w:pPr>
    <w:r>
      <w:rPr>
        <w:rFonts w:ascii="宋体" w:hAnsi="宋体" w:eastAsia="宋体"/>
        <w:caps/>
        <w:sz w:val="28"/>
        <w:szCs w:val="28"/>
      </w:rPr>
      <w:t>—</w:t>
    </w:r>
    <w:r>
      <w:rPr>
        <w:rFonts w:hint="eastAsia" w:ascii="方正仿宋_GBK" w:hAnsi="Times New Roman"/>
        <w:caps/>
        <w:sz w:val="28"/>
        <w:szCs w:val="28"/>
      </w:rPr>
      <w:t xml:space="preserve"> </w:t>
    </w:r>
    <w:r>
      <w:rPr>
        <w:rFonts w:ascii="Times New Roman" w:hAnsi="Times New Roman" w:eastAsia="仿宋_GB2312"/>
        <w:caps/>
        <w:sz w:val="28"/>
        <w:szCs w:val="28"/>
      </w:rPr>
      <w:fldChar w:fldCharType="begin"/>
    </w:r>
    <w:r>
      <w:rPr>
        <w:rFonts w:ascii="Times New Roman" w:hAnsi="Times New Roman" w:eastAsia="仿宋_GB2312"/>
        <w:caps/>
        <w:sz w:val="28"/>
        <w:szCs w:val="28"/>
      </w:rPr>
      <w:instrText xml:space="preserve">PAGE   \* MERGEFORMAT</w:instrText>
    </w:r>
    <w:r>
      <w:rPr>
        <w:rFonts w:ascii="Times New Roman" w:hAnsi="Times New Roman" w:eastAsia="仿宋_GB2312"/>
        <w:caps/>
        <w:sz w:val="28"/>
        <w:szCs w:val="28"/>
      </w:rPr>
      <w:fldChar w:fldCharType="separate"/>
    </w:r>
    <w:r>
      <w:rPr>
        <w:rFonts w:ascii="Times New Roman" w:hAnsi="Times New Roman" w:eastAsia="仿宋_GB2312"/>
        <w:caps/>
        <w:sz w:val="28"/>
        <w:szCs w:val="28"/>
        <w:lang w:val="zh-CN"/>
      </w:rPr>
      <w:t>30</w:t>
    </w:r>
    <w:r>
      <w:rPr>
        <w:rFonts w:ascii="Times New Roman" w:hAnsi="Times New Roman" w:eastAsia="仿宋_GB2312"/>
        <w:caps/>
        <w:sz w:val="28"/>
        <w:szCs w:val="28"/>
      </w:rPr>
      <w:fldChar w:fldCharType="end"/>
    </w:r>
    <w:r>
      <w:rPr>
        <w:rFonts w:hint="eastAsia" w:ascii="方正仿宋_GBK" w:hAnsi="Times New Roman"/>
        <w:caps/>
        <w:sz w:val="28"/>
        <w:szCs w:val="28"/>
      </w:rPr>
      <w:t xml:space="preserve"> </w:t>
    </w:r>
    <w:r>
      <w:rPr>
        <w:rFonts w:ascii="宋体" w:hAnsi="宋体" w:eastAsia="宋体"/>
        <w:caps/>
        <w:sz w:val="28"/>
        <w:szCs w:val="28"/>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trackRevisions w:val="1"/>
  <w:documentProtection w:enforcement="0"/>
  <w:defaultTabStop w:val="420"/>
  <w:evenAndOddHeaders w:val="1"/>
  <w:drawingGridHorizontalSpacing w:val="150"/>
  <w:drawingGridVerticalSpacing w:val="294"/>
  <w:displayHorizontalDrawingGridEvery w:val="0"/>
  <w:displayVerticalDrawingGridEvery w:val="2"/>
  <w:noPunctuationKerning w:val="1"/>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7B0E"/>
    <w:rsid w:val="00013621"/>
    <w:rsid w:val="00020571"/>
    <w:rsid w:val="00024792"/>
    <w:rsid w:val="00024AFC"/>
    <w:rsid w:val="00025BBA"/>
    <w:rsid w:val="00030BFD"/>
    <w:rsid w:val="00052371"/>
    <w:rsid w:val="00052C3B"/>
    <w:rsid w:val="0005593B"/>
    <w:rsid w:val="000615ED"/>
    <w:rsid w:val="0006179A"/>
    <w:rsid w:val="0006354B"/>
    <w:rsid w:val="0006790E"/>
    <w:rsid w:val="00073FF0"/>
    <w:rsid w:val="0007471F"/>
    <w:rsid w:val="000751D4"/>
    <w:rsid w:val="00094675"/>
    <w:rsid w:val="000A3547"/>
    <w:rsid w:val="000A361D"/>
    <w:rsid w:val="000A680E"/>
    <w:rsid w:val="000B4AE6"/>
    <w:rsid w:val="000C5E37"/>
    <w:rsid w:val="000D74D6"/>
    <w:rsid w:val="000D7E2E"/>
    <w:rsid w:val="000E0B38"/>
    <w:rsid w:val="000F45B5"/>
    <w:rsid w:val="000F716E"/>
    <w:rsid w:val="0011215E"/>
    <w:rsid w:val="00113DCB"/>
    <w:rsid w:val="00121725"/>
    <w:rsid w:val="0013156A"/>
    <w:rsid w:val="00131CA8"/>
    <w:rsid w:val="001451DE"/>
    <w:rsid w:val="00154202"/>
    <w:rsid w:val="001552B8"/>
    <w:rsid w:val="001633A6"/>
    <w:rsid w:val="00164153"/>
    <w:rsid w:val="0018791D"/>
    <w:rsid w:val="001C73CD"/>
    <w:rsid w:val="001E4FCD"/>
    <w:rsid w:val="001E5835"/>
    <w:rsid w:val="00202C03"/>
    <w:rsid w:val="00216A1C"/>
    <w:rsid w:val="00261BD6"/>
    <w:rsid w:val="002631D2"/>
    <w:rsid w:val="00272134"/>
    <w:rsid w:val="00274CCC"/>
    <w:rsid w:val="00280636"/>
    <w:rsid w:val="002821FD"/>
    <w:rsid w:val="0028420D"/>
    <w:rsid w:val="00291FDF"/>
    <w:rsid w:val="002A6ECB"/>
    <w:rsid w:val="002B76A8"/>
    <w:rsid w:val="002B7BBA"/>
    <w:rsid w:val="002C760B"/>
    <w:rsid w:val="002F58AD"/>
    <w:rsid w:val="00301315"/>
    <w:rsid w:val="00314136"/>
    <w:rsid w:val="00315A0B"/>
    <w:rsid w:val="00354360"/>
    <w:rsid w:val="00355BCC"/>
    <w:rsid w:val="00357D2A"/>
    <w:rsid w:val="0037723D"/>
    <w:rsid w:val="00380DBC"/>
    <w:rsid w:val="00384B71"/>
    <w:rsid w:val="00390A6D"/>
    <w:rsid w:val="0039425D"/>
    <w:rsid w:val="00394CD5"/>
    <w:rsid w:val="003976BE"/>
    <w:rsid w:val="003A1A8F"/>
    <w:rsid w:val="003D7302"/>
    <w:rsid w:val="003D7B46"/>
    <w:rsid w:val="00400F9F"/>
    <w:rsid w:val="00410128"/>
    <w:rsid w:val="0041030C"/>
    <w:rsid w:val="004104BD"/>
    <w:rsid w:val="004113EE"/>
    <w:rsid w:val="0042691D"/>
    <w:rsid w:val="0043531C"/>
    <w:rsid w:val="00456D57"/>
    <w:rsid w:val="004760EF"/>
    <w:rsid w:val="00497D70"/>
    <w:rsid w:val="004A693D"/>
    <w:rsid w:val="004C6AEA"/>
    <w:rsid w:val="004D0056"/>
    <w:rsid w:val="004D11F3"/>
    <w:rsid w:val="004D6D93"/>
    <w:rsid w:val="00531704"/>
    <w:rsid w:val="00541A72"/>
    <w:rsid w:val="00550116"/>
    <w:rsid w:val="00564D80"/>
    <w:rsid w:val="00572992"/>
    <w:rsid w:val="00577B6E"/>
    <w:rsid w:val="00596190"/>
    <w:rsid w:val="005B45C2"/>
    <w:rsid w:val="005B6DE1"/>
    <w:rsid w:val="005E76D4"/>
    <w:rsid w:val="005F3652"/>
    <w:rsid w:val="005F7B86"/>
    <w:rsid w:val="00622093"/>
    <w:rsid w:val="006302F9"/>
    <w:rsid w:val="00640F6F"/>
    <w:rsid w:val="00642FAE"/>
    <w:rsid w:val="0064642D"/>
    <w:rsid w:val="00687D7B"/>
    <w:rsid w:val="00701799"/>
    <w:rsid w:val="0070542F"/>
    <w:rsid w:val="00706583"/>
    <w:rsid w:val="00716F3B"/>
    <w:rsid w:val="00720E4B"/>
    <w:rsid w:val="00734961"/>
    <w:rsid w:val="00736A2E"/>
    <w:rsid w:val="00744751"/>
    <w:rsid w:val="00757E4E"/>
    <w:rsid w:val="0077623C"/>
    <w:rsid w:val="00780619"/>
    <w:rsid w:val="00781AB2"/>
    <w:rsid w:val="007A511E"/>
    <w:rsid w:val="007A5C01"/>
    <w:rsid w:val="007B4771"/>
    <w:rsid w:val="007C3A10"/>
    <w:rsid w:val="007C7B8D"/>
    <w:rsid w:val="007D59CE"/>
    <w:rsid w:val="007D68E4"/>
    <w:rsid w:val="007E4CAA"/>
    <w:rsid w:val="007F6613"/>
    <w:rsid w:val="008115F1"/>
    <w:rsid w:val="008127CA"/>
    <w:rsid w:val="0081296E"/>
    <w:rsid w:val="00816AE3"/>
    <w:rsid w:val="00845385"/>
    <w:rsid w:val="00852433"/>
    <w:rsid w:val="00854889"/>
    <w:rsid w:val="00855287"/>
    <w:rsid w:val="00866907"/>
    <w:rsid w:val="00870872"/>
    <w:rsid w:val="00873FA1"/>
    <w:rsid w:val="00874A51"/>
    <w:rsid w:val="00876A3C"/>
    <w:rsid w:val="00887A2B"/>
    <w:rsid w:val="00887AB6"/>
    <w:rsid w:val="008A4AAE"/>
    <w:rsid w:val="008A5105"/>
    <w:rsid w:val="008C7AE3"/>
    <w:rsid w:val="008E5763"/>
    <w:rsid w:val="008E72F1"/>
    <w:rsid w:val="008F01C2"/>
    <w:rsid w:val="009007D4"/>
    <w:rsid w:val="0091645A"/>
    <w:rsid w:val="0094173F"/>
    <w:rsid w:val="00945B2F"/>
    <w:rsid w:val="00966AFC"/>
    <w:rsid w:val="00970C7B"/>
    <w:rsid w:val="00971DF7"/>
    <w:rsid w:val="00983FCF"/>
    <w:rsid w:val="009920FB"/>
    <w:rsid w:val="009B5FA6"/>
    <w:rsid w:val="009B6C15"/>
    <w:rsid w:val="009D701B"/>
    <w:rsid w:val="009E1109"/>
    <w:rsid w:val="009E21F0"/>
    <w:rsid w:val="009E3385"/>
    <w:rsid w:val="009F5930"/>
    <w:rsid w:val="00A03545"/>
    <w:rsid w:val="00A07C9F"/>
    <w:rsid w:val="00A1288F"/>
    <w:rsid w:val="00A30318"/>
    <w:rsid w:val="00A36722"/>
    <w:rsid w:val="00A420F1"/>
    <w:rsid w:val="00A55D1F"/>
    <w:rsid w:val="00A60F4B"/>
    <w:rsid w:val="00A824E3"/>
    <w:rsid w:val="00AA7C56"/>
    <w:rsid w:val="00AB4B46"/>
    <w:rsid w:val="00AB68FC"/>
    <w:rsid w:val="00AD61A3"/>
    <w:rsid w:val="00AD7B0E"/>
    <w:rsid w:val="00AF100E"/>
    <w:rsid w:val="00AF6B7B"/>
    <w:rsid w:val="00B10A34"/>
    <w:rsid w:val="00B2357C"/>
    <w:rsid w:val="00B3446D"/>
    <w:rsid w:val="00B450DF"/>
    <w:rsid w:val="00B56254"/>
    <w:rsid w:val="00B607F0"/>
    <w:rsid w:val="00B660B2"/>
    <w:rsid w:val="00B75C53"/>
    <w:rsid w:val="00B955B5"/>
    <w:rsid w:val="00BA6C63"/>
    <w:rsid w:val="00BC1CD8"/>
    <w:rsid w:val="00BD156F"/>
    <w:rsid w:val="00C00931"/>
    <w:rsid w:val="00C03862"/>
    <w:rsid w:val="00C16A5C"/>
    <w:rsid w:val="00C23F79"/>
    <w:rsid w:val="00C2672F"/>
    <w:rsid w:val="00C4108C"/>
    <w:rsid w:val="00C41472"/>
    <w:rsid w:val="00C45507"/>
    <w:rsid w:val="00C915BA"/>
    <w:rsid w:val="00C92663"/>
    <w:rsid w:val="00CA38DE"/>
    <w:rsid w:val="00CA7995"/>
    <w:rsid w:val="00CB010E"/>
    <w:rsid w:val="00CB041A"/>
    <w:rsid w:val="00CB15B2"/>
    <w:rsid w:val="00CB7F29"/>
    <w:rsid w:val="00CC208C"/>
    <w:rsid w:val="00CD50B1"/>
    <w:rsid w:val="00CE14A1"/>
    <w:rsid w:val="00D01BC6"/>
    <w:rsid w:val="00D03E9B"/>
    <w:rsid w:val="00D16326"/>
    <w:rsid w:val="00D2237E"/>
    <w:rsid w:val="00D50B3D"/>
    <w:rsid w:val="00D51609"/>
    <w:rsid w:val="00D67466"/>
    <w:rsid w:val="00D72D8B"/>
    <w:rsid w:val="00D93581"/>
    <w:rsid w:val="00D9674A"/>
    <w:rsid w:val="00DC506C"/>
    <w:rsid w:val="00DF0B48"/>
    <w:rsid w:val="00E1137D"/>
    <w:rsid w:val="00E1589A"/>
    <w:rsid w:val="00E16FFA"/>
    <w:rsid w:val="00E43423"/>
    <w:rsid w:val="00E47A2A"/>
    <w:rsid w:val="00E53E77"/>
    <w:rsid w:val="00E82284"/>
    <w:rsid w:val="00E9423F"/>
    <w:rsid w:val="00EA459D"/>
    <w:rsid w:val="00EA7F99"/>
    <w:rsid w:val="00EB1108"/>
    <w:rsid w:val="00F3273D"/>
    <w:rsid w:val="00F32F62"/>
    <w:rsid w:val="00F45F93"/>
    <w:rsid w:val="00F46CC5"/>
    <w:rsid w:val="00F53DFD"/>
    <w:rsid w:val="00F6247F"/>
    <w:rsid w:val="00F64C98"/>
    <w:rsid w:val="00F743AE"/>
    <w:rsid w:val="00F746F2"/>
    <w:rsid w:val="00F80746"/>
    <w:rsid w:val="00F83107"/>
    <w:rsid w:val="00FA60EB"/>
    <w:rsid w:val="00FC25BD"/>
    <w:rsid w:val="00FC49D6"/>
    <w:rsid w:val="00FC5EA1"/>
    <w:rsid w:val="00FE22AB"/>
    <w:rsid w:val="00FF5405"/>
    <w:rsid w:val="21745B0E"/>
    <w:rsid w:val="27F110E8"/>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unhideWhenUsed="0" w:uiPriority="22" w:semiHidden="0" w:name="Strong"/>
    <w:lsdException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88" w:lineRule="exact"/>
      <w:jc w:val="both"/>
      <w:textAlignment w:val="center"/>
    </w:pPr>
    <w:rPr>
      <w:rFonts w:ascii="Times New Roman" w:hAnsi="Times New Roman" w:eastAsia="方正仿宋_GBK" w:cs="Times New Roman"/>
      <w:kern w:val="2"/>
      <w:sz w:val="30"/>
      <w:szCs w:val="22"/>
      <w:lang w:val="en-US" w:eastAsia="zh-CN" w:bidi="ar-SA"/>
    </w:rPr>
  </w:style>
  <w:style w:type="paragraph" w:styleId="2">
    <w:name w:val="heading 1"/>
    <w:basedOn w:val="1"/>
    <w:next w:val="1"/>
    <w:link w:val="15"/>
    <w:qFormat/>
    <w:uiPriority w:val="9"/>
    <w:pPr>
      <w:keepLines/>
      <w:ind w:firstLine="600" w:firstLineChars="200"/>
      <w:outlineLvl w:val="0"/>
    </w:pPr>
    <w:rPr>
      <w:rFonts w:ascii="Calibri" w:hAnsi="Calibri" w:eastAsia="方正黑体_GBK"/>
      <w:bCs/>
      <w:kern w:val="44"/>
      <w:szCs w:val="44"/>
    </w:rPr>
  </w:style>
  <w:style w:type="paragraph" w:styleId="3">
    <w:name w:val="heading 2"/>
    <w:basedOn w:val="1"/>
    <w:next w:val="1"/>
    <w:link w:val="16"/>
    <w:unhideWhenUsed/>
    <w:qFormat/>
    <w:uiPriority w:val="9"/>
    <w:pPr>
      <w:keepNext/>
      <w:keepLines/>
      <w:ind w:firstLine="600" w:firstLineChars="200"/>
      <w:outlineLvl w:val="1"/>
    </w:pPr>
    <w:rPr>
      <w:rFonts w:ascii="Cambria" w:hAnsi="Cambria" w:eastAsia="方正楷体_GBK"/>
      <w:bCs/>
      <w:szCs w:val="32"/>
    </w:rPr>
  </w:style>
  <w:style w:type="paragraph" w:styleId="4">
    <w:name w:val="heading 3"/>
    <w:basedOn w:val="1"/>
    <w:next w:val="1"/>
    <w:link w:val="17"/>
    <w:unhideWhenUsed/>
    <w:qFormat/>
    <w:uiPriority w:val="9"/>
    <w:pPr>
      <w:keepNext/>
      <w:keepLines/>
      <w:outlineLvl w:val="2"/>
    </w:pPr>
    <w:rPr>
      <w:rFonts w:ascii="Calibri" w:hAnsi="Calibri" w:eastAsia="方正楷体_GBK"/>
      <w:bCs/>
      <w:szCs w:val="32"/>
    </w:rPr>
  </w:style>
  <w:style w:type="character" w:default="1" w:styleId="11">
    <w:name w:val="Default Paragraph Font"/>
    <w:unhideWhenUsed/>
    <w:qFormat/>
    <w:uiPriority w:val="1"/>
  </w:style>
  <w:style w:type="table" w:default="1" w:styleId="12">
    <w:name w:val="Normal Table"/>
    <w:unhideWhenUsed/>
    <w:qFormat/>
    <w:uiPriority w:val="99"/>
    <w:tblPr>
      <w:tblLayout w:type="fixed"/>
      <w:tblCellMar>
        <w:top w:w="0" w:type="dxa"/>
        <w:left w:w="108" w:type="dxa"/>
        <w:bottom w:w="0" w:type="dxa"/>
        <w:right w:w="108" w:type="dxa"/>
      </w:tblCellMar>
    </w:tblPr>
  </w:style>
  <w:style w:type="paragraph" w:styleId="5">
    <w:name w:val="Document Map"/>
    <w:basedOn w:val="1"/>
    <w:link w:val="19"/>
    <w:unhideWhenUsed/>
    <w:qFormat/>
    <w:uiPriority w:val="99"/>
    <w:rPr>
      <w:rFonts w:ascii="宋体" w:eastAsia="宋体"/>
      <w:sz w:val="18"/>
      <w:szCs w:val="18"/>
    </w:rPr>
  </w:style>
  <w:style w:type="paragraph" w:styleId="6">
    <w:name w:val="Date"/>
    <w:basedOn w:val="1"/>
    <w:next w:val="1"/>
    <w:link w:val="18"/>
    <w:unhideWhenUsed/>
    <w:qFormat/>
    <w:uiPriority w:val="99"/>
    <w:pPr>
      <w:ind w:left="100" w:leftChars="2500"/>
    </w:pPr>
  </w:style>
  <w:style w:type="paragraph" w:styleId="7">
    <w:name w:val="Balloon Text"/>
    <w:basedOn w:val="1"/>
    <w:link w:val="24"/>
    <w:unhideWhenUsed/>
    <w:qFormat/>
    <w:uiPriority w:val="99"/>
    <w:pPr>
      <w:spacing w:line="240" w:lineRule="auto"/>
    </w:pPr>
    <w:rPr>
      <w:sz w:val="18"/>
      <w:szCs w:val="18"/>
    </w:rPr>
  </w:style>
  <w:style w:type="paragraph" w:styleId="8">
    <w:name w:val="footer"/>
    <w:basedOn w:val="1"/>
    <w:link w:val="14"/>
    <w:unhideWhenUsed/>
    <w:qFormat/>
    <w:uiPriority w:val="99"/>
    <w:pPr>
      <w:tabs>
        <w:tab w:val="center" w:pos="4153"/>
        <w:tab w:val="right" w:pos="8306"/>
      </w:tabs>
      <w:snapToGrid w:val="0"/>
      <w:spacing w:line="240" w:lineRule="atLeast"/>
      <w:jc w:val="left"/>
    </w:pPr>
    <w:rPr>
      <w:rFonts w:ascii="Calibri" w:hAnsi="Calibri"/>
      <w:spacing w:val="6"/>
      <w:kern w:val="0"/>
      <w:sz w:val="18"/>
      <w:szCs w:val="18"/>
    </w:rPr>
  </w:style>
  <w:style w:type="paragraph" w:styleId="9">
    <w:name w:val="header"/>
    <w:basedOn w:val="1"/>
    <w:link w:val="13"/>
    <w:unhideWhenUsed/>
    <w:qFormat/>
    <w:uiPriority w:val="99"/>
    <w:pPr>
      <w:pBdr>
        <w:bottom w:val="single" w:color="auto" w:sz="6" w:space="1"/>
      </w:pBdr>
      <w:tabs>
        <w:tab w:val="center" w:pos="4153"/>
        <w:tab w:val="right" w:pos="8306"/>
      </w:tabs>
      <w:snapToGrid w:val="0"/>
      <w:spacing w:line="240" w:lineRule="atLeast"/>
      <w:jc w:val="center"/>
    </w:pPr>
    <w:rPr>
      <w:rFonts w:ascii="Calibri" w:hAnsi="Calibri"/>
      <w:spacing w:val="6"/>
      <w:kern w:val="0"/>
      <w:sz w:val="18"/>
      <w:szCs w:val="18"/>
    </w:rPr>
  </w:style>
  <w:style w:type="paragraph" w:styleId="10">
    <w:name w:val="Title"/>
    <w:basedOn w:val="1"/>
    <w:link w:val="20"/>
    <w:qFormat/>
    <w:uiPriority w:val="10"/>
    <w:pPr>
      <w:jc w:val="center"/>
    </w:pPr>
    <w:rPr>
      <w:rFonts w:ascii="方正小标宋_GBK" w:eastAsia="方正小标宋_GBK"/>
      <w:sz w:val="40"/>
      <w:szCs w:val="40"/>
    </w:rPr>
  </w:style>
  <w:style w:type="character" w:customStyle="1" w:styleId="13">
    <w:name w:val="页眉 Char"/>
    <w:link w:val="9"/>
    <w:qFormat/>
    <w:uiPriority w:val="99"/>
    <w:rPr>
      <w:rFonts w:eastAsia="方正仿宋_GBK"/>
      <w:spacing w:val="6"/>
      <w:sz w:val="18"/>
      <w:szCs w:val="18"/>
    </w:rPr>
  </w:style>
  <w:style w:type="character" w:customStyle="1" w:styleId="14">
    <w:name w:val="页脚 Char"/>
    <w:link w:val="8"/>
    <w:qFormat/>
    <w:uiPriority w:val="99"/>
    <w:rPr>
      <w:rFonts w:eastAsia="方正仿宋_GBK"/>
      <w:spacing w:val="6"/>
      <w:sz w:val="18"/>
      <w:szCs w:val="18"/>
    </w:rPr>
  </w:style>
  <w:style w:type="character" w:customStyle="1" w:styleId="15">
    <w:name w:val="标题 1 Char"/>
    <w:link w:val="2"/>
    <w:qFormat/>
    <w:uiPriority w:val="9"/>
    <w:rPr>
      <w:rFonts w:eastAsia="方正黑体_GBK"/>
      <w:bCs/>
      <w:kern w:val="44"/>
      <w:sz w:val="30"/>
      <w:szCs w:val="44"/>
    </w:rPr>
  </w:style>
  <w:style w:type="character" w:customStyle="1" w:styleId="16">
    <w:name w:val="标题 2 Char"/>
    <w:link w:val="3"/>
    <w:qFormat/>
    <w:uiPriority w:val="9"/>
    <w:rPr>
      <w:rFonts w:ascii="Cambria" w:hAnsi="Cambria" w:eastAsia="方正楷体_GBK"/>
      <w:bCs/>
      <w:kern w:val="2"/>
      <w:sz w:val="30"/>
      <w:szCs w:val="32"/>
    </w:rPr>
  </w:style>
  <w:style w:type="character" w:customStyle="1" w:styleId="17">
    <w:name w:val="标题 3 Char"/>
    <w:link w:val="4"/>
    <w:qFormat/>
    <w:uiPriority w:val="9"/>
    <w:rPr>
      <w:rFonts w:eastAsia="方正楷体_GBK"/>
      <w:bCs/>
      <w:kern w:val="2"/>
      <w:sz w:val="30"/>
      <w:szCs w:val="32"/>
    </w:rPr>
  </w:style>
  <w:style w:type="character" w:customStyle="1" w:styleId="18">
    <w:name w:val="日期 Char"/>
    <w:basedOn w:val="11"/>
    <w:link w:val="6"/>
    <w:semiHidden/>
    <w:qFormat/>
    <w:uiPriority w:val="99"/>
    <w:rPr>
      <w:rFonts w:ascii="Times New Roman" w:hAnsi="Times New Roman" w:eastAsia="方正仿宋_GBK"/>
      <w:kern w:val="2"/>
      <w:sz w:val="30"/>
      <w:szCs w:val="22"/>
    </w:rPr>
  </w:style>
  <w:style w:type="character" w:customStyle="1" w:styleId="19">
    <w:name w:val="文档结构图 Char"/>
    <w:basedOn w:val="11"/>
    <w:link w:val="5"/>
    <w:semiHidden/>
    <w:qFormat/>
    <w:uiPriority w:val="99"/>
    <w:rPr>
      <w:rFonts w:ascii="宋体" w:hAnsi="Times New Roman"/>
      <w:kern w:val="2"/>
      <w:sz w:val="18"/>
      <w:szCs w:val="18"/>
    </w:rPr>
  </w:style>
  <w:style w:type="character" w:customStyle="1" w:styleId="20">
    <w:name w:val="标题 Char"/>
    <w:basedOn w:val="11"/>
    <w:link w:val="10"/>
    <w:qFormat/>
    <w:uiPriority w:val="10"/>
    <w:rPr>
      <w:rFonts w:ascii="方正小标宋_GBK" w:hAnsi="Times New Roman" w:eastAsia="方正小标宋_GBK"/>
      <w:kern w:val="2"/>
      <w:sz w:val="40"/>
      <w:szCs w:val="40"/>
    </w:rPr>
  </w:style>
  <w:style w:type="paragraph" w:customStyle="1" w:styleId="21">
    <w:name w:val="List Paragraph"/>
    <w:basedOn w:val="1"/>
    <w:qFormat/>
    <w:uiPriority w:val="34"/>
    <w:pPr>
      <w:spacing w:line="240" w:lineRule="auto"/>
      <w:ind w:firstLine="420" w:firstLineChars="200"/>
      <w:textAlignment w:val="auto"/>
    </w:pPr>
    <w:rPr>
      <w:rFonts w:asciiTheme="minorHAnsi" w:hAnsiTheme="minorHAnsi" w:eastAsiaTheme="minorEastAsia" w:cstheme="minorBidi"/>
      <w:sz w:val="21"/>
    </w:rPr>
  </w:style>
  <w:style w:type="paragraph" w:customStyle="1" w:styleId="22">
    <w:name w:val="公文正文"/>
    <w:basedOn w:val="1"/>
    <w:link w:val="23"/>
    <w:qFormat/>
    <w:uiPriority w:val="0"/>
    <w:pPr>
      <w:ind w:firstLine="600"/>
    </w:pPr>
  </w:style>
  <w:style w:type="character" w:customStyle="1" w:styleId="23">
    <w:name w:val="公文正文 Char"/>
    <w:basedOn w:val="11"/>
    <w:link w:val="22"/>
    <w:qFormat/>
    <w:uiPriority w:val="0"/>
    <w:rPr>
      <w:rFonts w:ascii="Times New Roman" w:hAnsi="Times New Roman" w:eastAsia="方正仿宋_GBK"/>
      <w:kern w:val="2"/>
      <w:sz w:val="30"/>
      <w:szCs w:val="22"/>
    </w:rPr>
  </w:style>
  <w:style w:type="character" w:customStyle="1" w:styleId="24">
    <w:name w:val="批注框文本 Char"/>
    <w:basedOn w:val="11"/>
    <w:link w:val="7"/>
    <w:semiHidden/>
    <w:qFormat/>
    <w:uiPriority w:val="99"/>
    <w:rPr>
      <w:rFonts w:ascii="Times New Roman" w:hAnsi="Times New Roman" w:eastAsia="方正仿宋_GBK"/>
      <w:kern w:val="2"/>
      <w:sz w:val="18"/>
      <w:szCs w:val="18"/>
    </w:rPr>
  </w:style>
  <w:style w:type="character" w:customStyle="1" w:styleId="25">
    <w:name w:val="Placeholder Text"/>
    <w:basedOn w:val="11"/>
    <w:semiHidden/>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26</Pages>
  <Words>1926</Words>
  <Characters>10981</Characters>
  <Lines>91</Lines>
  <Paragraphs>25</Paragraphs>
  <TotalTime>0</TotalTime>
  <ScaleCrop>false</ScaleCrop>
  <LinksUpToDate>false</LinksUpToDate>
  <CharactersWithSpaces>12882</CharactersWithSpaces>
  <Application>WPS Office_10.8.0.5562_F1E327BC-269C-435d-A152-05C5408002CA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2018-05-14T01:02:00Z</dcterms:created>
  <dc:creator>程建林</dc:creator>
  <cp:lastModifiedBy>editor</cp:lastModifiedBy>
  <cp:lastPrinted>2019-05-28T11:13:00Z</cp:lastPrinted>
  <dcterms:modified xsi:type="dcterms:W3CDTF">2019-05-30T07:49:24Z</dcterms:modified>
  <cp:revision>112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2052-10.8.0.5562</vt:lpwstr>
  </property>
</Properties>
</file>