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jc w:val="left"/>
        <w:rPr>
          <w:rFonts w:eastAsia="方正黑体_GBK"/>
          <w:spacing w:val="-3"/>
          <w:szCs w:val="30"/>
        </w:rPr>
      </w:pPr>
      <w:r>
        <w:rPr>
          <w:rFonts w:hint="eastAsia" w:eastAsia="方正黑体_GBK"/>
          <w:spacing w:val="-3"/>
          <w:szCs w:val="30"/>
        </w:rPr>
        <w:t>附件</w:t>
      </w:r>
      <w:r>
        <w:rPr>
          <w:rFonts w:eastAsia="方正黑体_GBK"/>
          <w:spacing w:val="-3"/>
          <w:szCs w:val="30"/>
        </w:rPr>
        <w:t>2</w:t>
      </w:r>
    </w:p>
    <w:p>
      <w:pPr>
        <w:overflowPunct w:val="0"/>
        <w:jc w:val="left"/>
        <w:rPr>
          <w:rFonts w:eastAsia="方正黑体_GBK"/>
          <w:spacing w:val="-3"/>
          <w:szCs w:val="30"/>
        </w:rPr>
      </w:pPr>
    </w:p>
    <w:p>
      <w:pPr>
        <w:overflowPunct w:val="0"/>
        <w:jc w:val="center"/>
        <w:rPr>
          <w:rFonts w:eastAsia="方正小标宋_GBK"/>
          <w:spacing w:val="-3"/>
          <w:sz w:val="40"/>
          <w:szCs w:val="40"/>
        </w:rPr>
      </w:pPr>
      <w:r>
        <w:rPr>
          <w:rFonts w:eastAsia="方正小标宋_GBK"/>
          <w:spacing w:val="-3"/>
          <w:sz w:val="40"/>
          <w:szCs w:val="40"/>
        </w:rPr>
        <w:t>2019年光伏发电</w:t>
      </w:r>
      <w:r>
        <w:rPr>
          <w:rFonts w:hint="eastAsia" w:eastAsia="方正小标宋_GBK"/>
          <w:spacing w:val="-3"/>
          <w:sz w:val="40"/>
          <w:szCs w:val="40"/>
        </w:rPr>
        <w:t>项目</w:t>
      </w:r>
      <w:r>
        <w:rPr>
          <w:rFonts w:eastAsia="方正小标宋_GBK"/>
          <w:spacing w:val="-3"/>
          <w:sz w:val="40"/>
          <w:szCs w:val="40"/>
        </w:rPr>
        <w:t>建设</w:t>
      </w:r>
      <w:r>
        <w:rPr>
          <w:rFonts w:hint="eastAsia" w:eastAsia="方正小标宋_GBK"/>
          <w:spacing w:val="-3"/>
          <w:sz w:val="40"/>
          <w:szCs w:val="40"/>
        </w:rPr>
        <w:t>工作方案</w:t>
      </w:r>
    </w:p>
    <w:p>
      <w:pPr>
        <w:overflowPunct w:val="0"/>
        <w:jc w:val="center"/>
        <w:rPr>
          <w:rFonts w:eastAsia="楷体_GB2312"/>
          <w:spacing w:val="-3"/>
          <w:sz w:val="32"/>
          <w:szCs w:val="32"/>
        </w:rPr>
      </w:pPr>
    </w:p>
    <w:p>
      <w:pPr>
        <w:pStyle w:val="22"/>
        <w:overflowPunct w:val="0"/>
      </w:pPr>
      <w:r>
        <w:rPr>
          <w:rFonts w:hint="eastAsia"/>
        </w:rPr>
        <w:t>为发挥市场在资源配置中的决定性作用，加速降低度电补贴强度，推进光伏产业健康持续发展，现就做好</w:t>
      </w:r>
      <w:r>
        <w:t>2019年</w:t>
      </w:r>
      <w:r>
        <w:rPr>
          <w:rFonts w:hint="eastAsia"/>
        </w:rPr>
        <w:t>光伏发电开发建设管理工作有关要求通知如下。</w:t>
      </w:r>
    </w:p>
    <w:p>
      <w:pPr>
        <w:pStyle w:val="2"/>
        <w:overflowPunct w:val="0"/>
        <w:rPr>
          <w:rFonts w:ascii="Times New Roman" w:hAnsi="Times New Roman"/>
        </w:rPr>
      </w:pPr>
      <w:r>
        <w:rPr>
          <w:rFonts w:hint="eastAsia" w:ascii="Times New Roman" w:hAnsi="Times New Roman"/>
        </w:rPr>
        <w:t>一、总体思路</w:t>
      </w:r>
    </w:p>
    <w:p>
      <w:pPr>
        <w:pStyle w:val="22"/>
        <w:overflowPunct w:val="0"/>
      </w:pPr>
      <w:r>
        <w:rPr>
          <w:rFonts w:hint="eastAsia"/>
        </w:rPr>
        <w:t>坚持稳中求进总基调，坚持新发展理念，坚持推动高质量发展，坚持推进市场化改革，落实“放管服”改革要求，完善光伏发电建设管理。在光伏发电全面实现无补贴平价上网前，对于不需要国家补贴的光伏发电项目，由地方按《国家发展改革委</w:t>
      </w:r>
      <w:r>
        <w:t xml:space="preserve"> </w:t>
      </w:r>
      <w:r>
        <w:rPr>
          <w:rFonts w:hint="eastAsia"/>
        </w:rPr>
        <w:t>国家能源局关于积极推进风电、光伏发电无补贴平价上网有关工作的通知》（发改能源〔</w:t>
      </w:r>
      <w:r>
        <w:t>2019</w:t>
      </w:r>
      <w:r>
        <w:rPr>
          <w:rFonts w:hint="eastAsia"/>
        </w:rPr>
        <w:t>〕</w:t>
      </w:r>
      <w:r>
        <w:t>19</w:t>
      </w:r>
      <w:r>
        <w:rPr>
          <w:rFonts w:hint="eastAsia"/>
        </w:rPr>
        <w:t>号）规定自行组织建设；对于需要国家补贴的新建光伏发电项目，原则上均应按本通知由市场机制确定项目和实行补贴竞价。</w:t>
      </w:r>
    </w:p>
    <w:p>
      <w:pPr>
        <w:pStyle w:val="2"/>
        <w:overflowPunct w:val="0"/>
        <w:rPr>
          <w:rFonts w:ascii="Times New Roman" w:hAnsi="Times New Roman"/>
        </w:rPr>
      </w:pPr>
      <w:r>
        <w:rPr>
          <w:rFonts w:hint="eastAsia" w:ascii="Times New Roman" w:hAnsi="Times New Roman"/>
        </w:rPr>
        <w:t>二</w:t>
      </w:r>
      <w:r>
        <w:rPr>
          <w:rFonts w:ascii="Times New Roman" w:hAnsi="Times New Roman"/>
        </w:rPr>
        <w:t>、</w:t>
      </w:r>
      <w:r>
        <w:rPr>
          <w:rFonts w:hint="eastAsia" w:ascii="Times New Roman" w:hAnsi="Times New Roman"/>
        </w:rPr>
        <w:t>优化国家补贴项目管理</w:t>
      </w:r>
    </w:p>
    <w:p>
      <w:pPr>
        <w:pStyle w:val="22"/>
        <w:overflowPunct w:val="0"/>
      </w:pPr>
      <w:r>
        <w:rPr>
          <w:rStyle w:val="16"/>
          <w:rFonts w:hint="eastAsia" w:ascii="Times New Roman" w:hAnsi="Times New Roman"/>
        </w:rPr>
        <w:t>（一）明确项目类别。</w:t>
      </w:r>
      <w:r>
        <w:rPr>
          <w:rFonts w:hint="eastAsia"/>
        </w:rPr>
        <w:t>自</w:t>
      </w:r>
      <w:r>
        <w:t>2019</w:t>
      </w:r>
      <w:r>
        <w:rPr>
          <w:rFonts w:hint="eastAsia"/>
        </w:rPr>
        <w:t>年起</w:t>
      </w:r>
      <w:bookmarkStart w:id="0" w:name="_GoBack"/>
      <w:bookmarkEnd w:id="0"/>
      <w:r>
        <w:rPr>
          <w:rFonts w:hint="eastAsia"/>
        </w:rPr>
        <w:t>，对需要国家补贴的新建光伏发电项目分以下五类：（</w:t>
      </w:r>
      <w:r>
        <w:t>1</w:t>
      </w:r>
      <w:r>
        <w:rPr>
          <w:rFonts w:hint="eastAsia"/>
        </w:rPr>
        <w:t>）光伏扶贫项目，包括已列入国家光伏扶贫目录和国家下达计划的光伏扶贫项目；（</w:t>
      </w:r>
      <w:r>
        <w:t>2</w:t>
      </w:r>
      <w:r>
        <w:rPr>
          <w:rFonts w:hint="eastAsia"/>
        </w:rPr>
        <w:t>）户用光伏：业主自建的户用自然人分布式光伏项目；（</w:t>
      </w:r>
      <w:r>
        <w:t>3</w:t>
      </w:r>
      <w:r>
        <w:rPr>
          <w:rFonts w:hint="eastAsia"/>
        </w:rPr>
        <w:t>）普通光伏电站：装机容量</w:t>
      </w:r>
      <w:r>
        <w:t>6</w:t>
      </w:r>
      <w:r>
        <w:rPr>
          <w:rFonts w:hint="eastAsia"/>
        </w:rPr>
        <w:t>兆瓦及以上的光伏电站；（</w:t>
      </w:r>
      <w:r>
        <w:t>4</w:t>
      </w:r>
      <w:r>
        <w:rPr>
          <w:rFonts w:hint="eastAsia"/>
        </w:rPr>
        <w:t>）工商业分布式光伏发电项目：就地开发、就近利用且单点并网装机容量小于</w:t>
      </w:r>
      <w:r>
        <w:t>6</w:t>
      </w:r>
      <w:r>
        <w:rPr>
          <w:rFonts w:hint="eastAsia"/>
        </w:rPr>
        <w:t>兆瓦的户用光伏以外的各类分布式光伏发电项目；（</w:t>
      </w:r>
      <w:r>
        <w:t>5</w:t>
      </w:r>
      <w:r>
        <w:rPr>
          <w:rFonts w:hint="eastAsia"/>
        </w:rPr>
        <w:t>）国家组织实施的专项工程或示范项目，包括国家明确建设规模的示范省、示范区、示范城市内的光伏发电项目，以及跨省跨区输电通道配套光伏发电项目等。</w:t>
      </w:r>
    </w:p>
    <w:p>
      <w:pPr>
        <w:pStyle w:val="22"/>
        <w:overflowPunct w:val="0"/>
      </w:pPr>
      <w:r>
        <w:rPr>
          <w:rStyle w:val="16"/>
          <w:rFonts w:hint="eastAsia" w:ascii="Times New Roman" w:hAnsi="Times New Roman"/>
        </w:rPr>
        <w:t>（二）实施分类管理。</w:t>
      </w:r>
      <w:r>
        <w:rPr>
          <w:rFonts w:hint="eastAsia"/>
        </w:rPr>
        <w:t>根据国家确定的年度新增项目补贴总额，按照以下原则组织本年度新建光伏发电项目。其中，（</w:t>
      </w:r>
      <w:r>
        <w:t>1</w:t>
      </w:r>
      <w:r>
        <w:rPr>
          <w:rFonts w:hint="eastAsia"/>
        </w:rPr>
        <w:t>）光伏扶贫项目按国家相关政策执行；（</w:t>
      </w:r>
      <w:r>
        <w:t>2</w:t>
      </w:r>
      <w:r>
        <w:rPr>
          <w:rFonts w:hint="eastAsia"/>
        </w:rPr>
        <w:t>）户用光伏根据切块的补贴额度确定的年度装机总量和固定补贴标准进行单独管理；（</w:t>
      </w:r>
      <w:r>
        <w:t>3</w:t>
      </w:r>
      <w:r>
        <w:rPr>
          <w:rFonts w:hint="eastAsia"/>
        </w:rPr>
        <w:t>）除国家有明确政策规定外，普通光伏电站、工商业分布式光伏发电项目以及国家组织实施的专项工程、示范项目（以下简称普通光伏项目），原则上均由地方通过招标等竞争性配置方式组织项目，国家根据补贴额度通过排序确定补贴名单。</w:t>
      </w:r>
    </w:p>
    <w:p>
      <w:pPr>
        <w:pStyle w:val="2"/>
        <w:overflowPunct w:val="0"/>
        <w:rPr>
          <w:rFonts w:ascii="Times New Roman" w:hAnsi="Times New Roman"/>
        </w:rPr>
      </w:pPr>
      <w:r>
        <w:rPr>
          <w:rFonts w:hint="eastAsia" w:ascii="Times New Roman" w:hAnsi="Times New Roman"/>
        </w:rPr>
        <w:t>三、户用光伏项目单独管理</w:t>
      </w:r>
    </w:p>
    <w:p>
      <w:pPr>
        <w:pStyle w:val="22"/>
        <w:overflowPunct w:val="0"/>
      </w:pPr>
      <w:r>
        <w:rPr>
          <w:rStyle w:val="16"/>
          <w:rFonts w:hint="eastAsia" w:ascii="Times New Roman" w:hAnsi="Times New Roman"/>
        </w:rPr>
        <w:t>（一）规范户用光伏管理。</w:t>
      </w:r>
      <w:r>
        <w:rPr>
          <w:rFonts w:hint="eastAsia"/>
        </w:rPr>
        <w:t>新建户用光伏应依法依规办理备案等手续，落实各项建设条件，满足质量安全等要求，年度装机总量内的项目以建成并网时间作为补贴计算起点执行固定度电补贴标准。文件发布前已建成并网但未纳入国家补贴范围的项目，可按本通知规定向所在地电网企业申报，经当地备案机关和电网企业联合审核、确认后纳入2019年财政补贴规模并按</w:t>
      </w:r>
      <w:r>
        <w:t>2019年户用光伏</w:t>
      </w:r>
      <w:r>
        <w:rPr>
          <w:rFonts w:hint="eastAsia"/>
        </w:rPr>
        <w:t>度电补贴标准享受国家补贴政策。</w:t>
      </w:r>
    </w:p>
    <w:p>
      <w:pPr>
        <w:pStyle w:val="22"/>
        <w:overflowPunct w:val="0"/>
      </w:pPr>
      <w:r>
        <w:rPr>
          <w:rStyle w:val="16"/>
          <w:rFonts w:hint="eastAsia" w:ascii="Times New Roman" w:hAnsi="Times New Roman"/>
        </w:rPr>
        <w:t>（二）完善项目申报程序。</w:t>
      </w:r>
      <w:r>
        <w:rPr>
          <w:rFonts w:hint="eastAsia"/>
        </w:rPr>
        <w:t>国家能源局于每年年初发布国家补贴支持的户用光伏年度装机总量。省级电网企业每月</w:t>
      </w:r>
      <w:r>
        <w:t>10</w:t>
      </w:r>
      <w:r>
        <w:rPr>
          <w:rFonts w:hint="eastAsia"/>
        </w:rPr>
        <w:t>日前对外公布上月新增并网（含新审核确认的文件发布前已建成并网但未纳入国家补贴范围的项目）和当年累计新增并网的户用光伏装机容量及项目名单，并于每月12日前向国家能源局和国家可再生能源信息管理中心报送相关信息，国家能源局于每月15日前对外公布当年截至上月底全国累计新增并网装机容量。当截至上月底的当年累计新增并网装机容量超过当年可安排的新增项目年度装机总量时，当月最后一天为本年度可享受国家补贴政策的户用光伏并网截止时间。</w:t>
      </w:r>
    </w:p>
    <w:p>
      <w:pPr>
        <w:pStyle w:val="2"/>
        <w:overflowPunct w:val="0"/>
        <w:rPr>
          <w:rFonts w:ascii="Times New Roman" w:hAnsi="Times New Roman"/>
        </w:rPr>
      </w:pPr>
      <w:r>
        <w:rPr>
          <w:rFonts w:hint="eastAsia" w:ascii="Times New Roman" w:hAnsi="Times New Roman"/>
        </w:rPr>
        <w:t>四、普通光伏发电国家补贴项目全面实行市场竞争配置</w:t>
      </w:r>
    </w:p>
    <w:p>
      <w:pPr>
        <w:pStyle w:val="22"/>
        <w:overflowPunct w:val="0"/>
      </w:pPr>
      <w:r>
        <w:rPr>
          <w:rStyle w:val="16"/>
          <w:rFonts w:hint="eastAsia" w:ascii="Times New Roman" w:hAnsi="Times New Roman"/>
        </w:rPr>
        <w:t>（一）扩大市场配置范围、实行项目补贴竞价。</w:t>
      </w:r>
      <w:r>
        <w:rPr>
          <w:rFonts w:hint="eastAsia"/>
        </w:rPr>
        <w:t>发挥市场在资源配置中的决定性作用，除光伏扶贫、户用光伏外，其余需要国家补贴的光伏发电项目原则上均须采取招标等竞争性配置方式，通过项目业主申报、竞争排序方式优选确定国家补贴项目及补贴标准。国家补贴资金优先用于补贴需求下降快、能尽快实现平价的项目和地区，充分发挥国家补贴资金支持先进企业和引领光伏平价的作用。</w:t>
      </w:r>
    </w:p>
    <w:p>
      <w:pPr>
        <w:pStyle w:val="22"/>
        <w:overflowPunct w:val="0"/>
      </w:pPr>
      <w:r>
        <w:rPr>
          <w:rStyle w:val="16"/>
          <w:rFonts w:hint="eastAsia" w:ascii="Times New Roman" w:hAnsi="Times New Roman"/>
        </w:rPr>
        <w:t>（二）严格实行竞争性配置。</w:t>
      </w:r>
      <w:r>
        <w:rPr>
          <w:rFonts w:hint="eastAsia"/>
        </w:rPr>
        <w:t>应当进行市场配置的所有光伏发电项目，均由地方通过招标等竞争性方式配置。各省应综合考虑发展规划、当地资源条件、监测预警、市场消纳、建设成本等因素，规范组织竞争性配置。</w:t>
      </w:r>
    </w:p>
    <w:p>
      <w:pPr>
        <w:pStyle w:val="22"/>
        <w:overflowPunct w:val="0"/>
      </w:pPr>
      <w:r>
        <w:rPr>
          <w:rFonts w:hint="eastAsia"/>
        </w:rPr>
        <w:t>省级能源主管部门应按国家政策要求制定本地区统一的竞争性配置资源的工作方案，把预期上网电价作为主要竞争条件，并符合国家光伏发电价格政策规定。竞争配置工作方案要明确技术标准、环境保护、安全质量、建设条件等要求，坚持公开、公平、公正原则，保障充分合理竞争，严禁限价竞争或变相设置中标底线价格。</w:t>
      </w:r>
    </w:p>
    <w:p>
      <w:pPr>
        <w:pStyle w:val="22"/>
        <w:overflowPunct w:val="0"/>
      </w:pPr>
      <w:r>
        <w:rPr>
          <w:rStyle w:val="16"/>
          <w:rFonts w:hint="eastAsia" w:ascii="Times New Roman" w:hAnsi="Times New Roman"/>
        </w:rPr>
        <w:t>（三）明确项目竞争性配置和补贴竞价程序。</w:t>
      </w:r>
      <w:r>
        <w:rPr>
          <w:rFonts w:hint="eastAsia"/>
        </w:rPr>
        <w:t>项目补贴竞价由地方组织申报、国家统一排序。程序主要包括：</w:t>
      </w:r>
    </w:p>
    <w:p>
      <w:pPr>
        <w:pStyle w:val="22"/>
        <w:overflowPunct w:val="0"/>
      </w:pPr>
      <w:r>
        <w:t>1.</w:t>
      </w:r>
      <w:r>
        <w:rPr>
          <w:rFonts w:hint="eastAsia"/>
        </w:rPr>
        <w:t>省级能源主管部门根据国家安排和相关要求，发布年度拟新建项目名单。</w:t>
      </w:r>
    </w:p>
    <w:p>
      <w:pPr>
        <w:pStyle w:val="22"/>
        <w:overflowPunct w:val="0"/>
      </w:pPr>
      <w:r>
        <w:t>2.</w:t>
      </w:r>
      <w:r>
        <w:rPr>
          <w:rFonts w:hint="eastAsia"/>
        </w:rPr>
        <w:t>省级能源主管部门按国家政策和本省光伏发电项目竞争配置工作方案组织竞争性配置确定项目业主和预期上网电价，省级电网企业研究提出配套接网工程建设安排。</w:t>
      </w:r>
    </w:p>
    <w:p>
      <w:pPr>
        <w:pStyle w:val="22"/>
        <w:overflowPunct w:val="0"/>
      </w:pPr>
      <w:r>
        <w:t>3.</w:t>
      </w:r>
      <w:r>
        <w:rPr>
          <w:rFonts w:hint="eastAsia"/>
        </w:rPr>
        <w:t>省级能源主管部门按要求审核汇总后向国家能源局报送申报补贴项目及预期投产时间、上网电价等。普通光伏电站须提供接网消纳、土地落实的支持文件，工商业分布式光伏发电项目须提供土地（场地）落实的支持文件，具体见附件。通知印发前已并网的本年度新建项目须提供电网企业出具的并网时间证明。</w:t>
      </w:r>
    </w:p>
    <w:p>
      <w:pPr>
        <w:pStyle w:val="22"/>
        <w:overflowPunct w:val="0"/>
      </w:pPr>
      <w:r>
        <w:t>4.</w:t>
      </w:r>
      <w:r>
        <w:rPr>
          <w:rFonts w:hint="eastAsia"/>
        </w:rPr>
        <w:t>国家能源局根据修正后的申报补贴项目上网电价报价由低到高排序遴选纳入补贴范围的项目。修正规则为：</w:t>
      </w:r>
    </w:p>
    <w:p>
      <w:pPr>
        <w:pStyle w:val="22"/>
        <w:overflowPunct w:val="0"/>
      </w:pPr>
      <w:r>
        <w:rPr>
          <w:rFonts w:hint="eastAsia"/>
        </w:rPr>
        <w:t>（</w:t>
      </w:r>
      <w:r>
        <w:t>1</w:t>
      </w:r>
      <w:r>
        <w:rPr>
          <w:rFonts w:hint="eastAsia"/>
        </w:rPr>
        <w:t>）普通光伏电站和全额上网工商业分布式光伏发电项目：</w:t>
      </w:r>
      <w:r>
        <w:t>II类</w:t>
      </w:r>
      <w:r>
        <w:rPr>
          <w:rFonts w:hint="eastAsia"/>
        </w:rPr>
        <w:t>资源区修正后的电价</w:t>
      </w:r>
      <w:r>
        <w:t>=</w:t>
      </w:r>
      <w:r>
        <w:rPr>
          <w:rFonts w:hint="eastAsia"/>
        </w:rPr>
        <w:t>申报电价</w:t>
      </w:r>
      <w:r>
        <w:rPr>
          <w:rFonts w:hint="eastAsia" w:eastAsia="仿宋_GB2312"/>
          <w:spacing w:val="-3"/>
          <w:szCs w:val="30"/>
        </w:rPr>
        <w:t>－</w:t>
      </w:r>
      <w:r>
        <w:t>0.05</w:t>
      </w:r>
      <w:r>
        <w:rPr>
          <w:rFonts w:hint="eastAsia"/>
        </w:rPr>
        <w:t>元</w:t>
      </w:r>
      <w:r>
        <w:t>/</w:t>
      </w:r>
      <w:r>
        <w:rPr>
          <w:rFonts w:hint="eastAsia"/>
        </w:rPr>
        <w:t>千瓦时，</w:t>
      </w:r>
      <w:r>
        <w:t>III</w:t>
      </w:r>
      <w:r>
        <w:rPr>
          <w:rFonts w:hint="eastAsia"/>
        </w:rPr>
        <w:t>类资源区修正后的电价</w:t>
      </w:r>
      <w:r>
        <w:t>=</w:t>
      </w:r>
      <w:r>
        <w:rPr>
          <w:rFonts w:hint="eastAsia"/>
        </w:rPr>
        <w:t>申报电价</w:t>
      </w:r>
      <w:r>
        <w:rPr>
          <w:rFonts w:hint="eastAsia" w:eastAsia="仿宋_GB2312"/>
          <w:spacing w:val="-3"/>
          <w:szCs w:val="30"/>
        </w:rPr>
        <w:t>－</w:t>
      </w:r>
      <w:r>
        <w:t>0.15</w:t>
      </w:r>
      <w:r>
        <w:rPr>
          <w:rFonts w:hint="eastAsia"/>
        </w:rPr>
        <w:t>元</w:t>
      </w:r>
      <w:r>
        <w:t>/</w:t>
      </w:r>
      <w:r>
        <w:rPr>
          <w:rFonts w:hint="eastAsia"/>
        </w:rPr>
        <w:t>千瓦时。</w:t>
      </w:r>
    </w:p>
    <w:p>
      <w:pPr>
        <w:pStyle w:val="22"/>
        <w:overflowPunct w:val="0"/>
        <w:ind w:firstLine="601"/>
      </w:pPr>
      <w:r>
        <w:rPr>
          <w:rFonts w:hint="eastAsia"/>
        </w:rPr>
        <w:t>（</w:t>
      </w:r>
      <w:r>
        <w:t>2</w:t>
      </w:r>
      <w:r>
        <w:rPr>
          <w:rFonts w:hint="eastAsia"/>
        </w:rPr>
        <w:t>）自发自用、余电上网工商业分布式光伏发电项目：修正后的电价</w:t>
      </w:r>
      <w:r>
        <w:t>=</w:t>
      </w:r>
      <w:r>
        <w:rPr>
          <w:rFonts w:hint="eastAsia"/>
        </w:rPr>
        <w:t>申报电价</w:t>
      </w:r>
      <w:r>
        <w:rPr>
          <w:rFonts w:hint="eastAsia" w:eastAsia="仿宋_GB2312"/>
          <w:spacing w:val="-3"/>
          <w:szCs w:val="30"/>
        </w:rPr>
        <w:t>－</w:t>
      </w:r>
      <w:r>
        <w:rPr>
          <w:rFonts w:hint="eastAsia"/>
        </w:rPr>
        <w:t>所在省份燃煤标杆电价</w:t>
      </w:r>
      <w:r>
        <w:rPr>
          <w:rFonts w:eastAsiaTheme="minorEastAsia"/>
          <w:szCs w:val="30"/>
        </w:rPr>
        <w:t>+</w:t>
      </w:r>
      <w:r>
        <w:t>0.3</w:t>
      </w:r>
      <w:r>
        <w:rPr>
          <w:rFonts w:hint="eastAsia"/>
        </w:rPr>
        <w:t>元</w:t>
      </w:r>
      <w:r>
        <w:t>/</w:t>
      </w:r>
      <w:r>
        <w:rPr>
          <w:rFonts w:hint="eastAsia"/>
        </w:rPr>
        <w:t>千瓦时，其中燃煤标杆电价不足</w:t>
      </w:r>
      <w:r>
        <w:t>0.3</w:t>
      </w:r>
      <w:r>
        <w:rPr>
          <w:rFonts w:hint="eastAsia"/>
        </w:rPr>
        <w:t>元</w:t>
      </w:r>
      <w:r>
        <w:t>/</w:t>
      </w:r>
      <w:r>
        <w:rPr>
          <w:rFonts w:hint="eastAsia"/>
        </w:rPr>
        <w:t>千瓦时地区的项目，申报电价不进行修正。</w:t>
      </w:r>
    </w:p>
    <w:p>
      <w:pPr>
        <w:pStyle w:val="22"/>
        <w:overflowPunct w:val="0"/>
      </w:pPr>
      <w:r>
        <w:rPr>
          <w:rFonts w:hint="eastAsia"/>
        </w:rPr>
        <w:t>（</w:t>
      </w:r>
      <w:r>
        <w:t>3</w:t>
      </w:r>
      <w:r>
        <w:rPr>
          <w:rFonts w:hint="eastAsia"/>
        </w:rPr>
        <w:t>）申报电价以0.1厘/千瓦时</w:t>
      </w:r>
      <w:r>
        <w:t>为最小报价单位。</w:t>
      </w:r>
    </w:p>
    <w:p>
      <w:pPr>
        <w:pStyle w:val="22"/>
        <w:overflowPunct w:val="0"/>
      </w:pPr>
      <w:r>
        <w:rPr>
          <w:rFonts w:hint="eastAsia"/>
        </w:rPr>
        <w:t>修正后上网电价相同的项目根据各项目装机容量从小到大排序，直至入选项目补贴总额达到国家确定的当年新增项目补贴总额限额为止，并对外公布项目名单和各项目补贴标准。</w:t>
      </w:r>
    </w:p>
    <w:p>
      <w:pPr>
        <w:pStyle w:val="22"/>
        <w:overflowPunct w:val="0"/>
      </w:pPr>
      <w:r>
        <w:rPr>
          <w:rFonts w:hint="eastAsia"/>
        </w:rPr>
        <w:t>业主在自有产权建筑物或场地自建光伏发电项目可不进行项目业主竞争配置，工商业屋顶光伏和企业已开展前期工作的项目，经地方政府确认后可不进行项目业主竞争配置，上述项目在业主明确上网电价报价后，均可通过省级能源主管部门申报国家补贴竞价。</w:t>
      </w:r>
    </w:p>
    <w:p>
      <w:pPr>
        <w:pStyle w:val="22"/>
        <w:overflowPunct w:val="0"/>
      </w:pPr>
      <w:r>
        <w:t>5.</w:t>
      </w:r>
      <w:r>
        <w:rPr>
          <w:rFonts w:hint="eastAsia"/>
        </w:rPr>
        <w:t>项目业主依法依规办理相关手续、进行项目建设，在国家规定期限内建成并网，按申报确认的上网电价享受国家补贴。</w:t>
      </w:r>
    </w:p>
    <w:p>
      <w:pPr>
        <w:pStyle w:val="22"/>
        <w:overflowPunct w:val="0"/>
      </w:pPr>
      <w:r>
        <w:rPr>
          <w:rStyle w:val="17"/>
          <w:rFonts w:hint="eastAsia"/>
        </w:rPr>
        <w:t>（四）补贴申报和竞价安排。</w:t>
      </w:r>
      <w:r>
        <w:rPr>
          <w:rFonts w:hint="eastAsia"/>
        </w:rPr>
        <w:t>补贴申报和竞价原则上一年组织一次。</w:t>
      </w:r>
    </w:p>
    <w:p>
      <w:pPr>
        <w:pStyle w:val="2"/>
        <w:overflowPunct w:val="0"/>
        <w:rPr>
          <w:rFonts w:ascii="Times New Roman" w:hAnsi="Times New Roman"/>
        </w:rPr>
      </w:pPr>
      <w:r>
        <w:rPr>
          <w:rFonts w:hint="eastAsia" w:ascii="Times New Roman" w:hAnsi="Times New Roman"/>
        </w:rPr>
        <w:t>五、有关要求</w:t>
      </w:r>
    </w:p>
    <w:p>
      <w:pPr>
        <w:pStyle w:val="22"/>
        <w:overflowPunct w:val="0"/>
      </w:pPr>
      <w:r>
        <w:rPr>
          <w:rStyle w:val="16"/>
          <w:rFonts w:hint="eastAsia" w:ascii="Times New Roman" w:hAnsi="Times New Roman"/>
        </w:rPr>
        <w:t>（一）严格预警管理。</w:t>
      </w:r>
      <w:r>
        <w:rPr>
          <w:rFonts w:hint="eastAsia"/>
        </w:rPr>
        <w:t>新建光伏发电项目必须符合国家和本地区的相关规划，以及市场环境监测评价等管理要求，严禁“先建先得”。各省级能源主管部门应与当地省级电网企业充分沟通，对所在省级区域光伏发电新增装机容量的接网和消纳条件进行测算论证，有序组织项目建设。监测评价结果为红色的地区，除光伏扶贫项目、已安排建设的平价上网示范项目及通过跨省跨区输电通道外送消纳项目外，原则上不安排新建项目。监测评价结果为橙色的地区，在提出有效措施保障改善市场环境的前提下合理调控新建项目。监测评价结果为绿色的地区，可在落实接网消纳条件的基础上有序推进项目建设。西藏新建光伏发电项目，由自治区按照全部电力电量在区内消纳及监测预警等管理要求自行管理。</w:t>
      </w:r>
    </w:p>
    <w:p>
      <w:pPr>
        <w:pStyle w:val="22"/>
        <w:overflowPunct w:val="0"/>
      </w:pPr>
      <w:r>
        <w:rPr>
          <w:rStyle w:val="16"/>
          <w:rFonts w:hint="eastAsia" w:ascii="Times New Roman" w:hAnsi="Times New Roman"/>
        </w:rPr>
        <w:t>（二）明确建设期限。</w:t>
      </w:r>
      <w:r>
        <w:rPr>
          <w:rFonts w:hint="eastAsia"/>
        </w:rPr>
        <w:t>落实企业投资项目承诺制，列入国家补贴范围的光伏发电项目，应在申报的预计投产时间所在的季度末之前全容量建成并网，逾期未建成并网的，每逾期一个季度并网电价补贴降低</w:t>
      </w:r>
      <w:r>
        <w:t>0.01</w:t>
      </w:r>
      <w:r>
        <w:rPr>
          <w:rFonts w:hint="eastAsia"/>
        </w:rPr>
        <w:t>元</w:t>
      </w:r>
      <w:r>
        <w:t>/</w:t>
      </w:r>
      <w:r>
        <w:rPr>
          <w:rFonts w:hint="eastAsia"/>
        </w:rPr>
        <w:t>千瓦时。在申报投产所在季度后两个季度内仍未建成并网的，取消项目补贴资格，并作为各地光伏发电市场环境监测评价和下一年度申报的重要因素。各省级能源主管部门应在竞争配置和项目建设阶段采取适宜方式和切实有效措施，保障项目落实和如期建成并网。电网企业应按照《可再生能源法》和相关文件要求，本着简化流程和提高效率原则，做好光伏发电项目送出工程建设相关工作，保障项目及时并网。</w:t>
      </w:r>
    </w:p>
    <w:p>
      <w:pPr>
        <w:pStyle w:val="3"/>
        <w:overflowPunct w:val="0"/>
        <w:rPr>
          <w:rFonts w:ascii="Times New Roman" w:hAnsi="Times New Roman"/>
        </w:rPr>
      </w:pPr>
      <w:r>
        <w:rPr>
          <w:rFonts w:hint="eastAsia" w:ascii="Times New Roman" w:hAnsi="Times New Roman"/>
        </w:rPr>
        <w:t>（三）做好新老政策衔接</w:t>
      </w:r>
    </w:p>
    <w:p>
      <w:pPr>
        <w:pStyle w:val="22"/>
        <w:overflowPunct w:val="0"/>
      </w:pPr>
      <w:r>
        <w:t>1.</w:t>
      </w:r>
      <w:r>
        <w:rPr>
          <w:rFonts w:hint="eastAsia"/>
        </w:rPr>
        <w:t>列入以往国家建设规模、已开工但未建成并网的光伏发电项目，执行国家相关价格政策，</w:t>
      </w:r>
      <w:r>
        <w:t>2019</w:t>
      </w:r>
      <w:r>
        <w:rPr>
          <w:rFonts w:hint="eastAsia"/>
        </w:rPr>
        <w:t>年底仍不能全容量建成并网的光伏发电项目（含二期光伏发电领跑基地项目），不再纳入国家补贴范围。</w:t>
      </w:r>
    </w:p>
    <w:p>
      <w:pPr>
        <w:pStyle w:val="22"/>
        <w:overflowPunct w:val="0"/>
      </w:pPr>
      <w:r>
        <w:t>2.</w:t>
      </w:r>
      <w:r>
        <w:rPr>
          <w:rFonts w:hint="eastAsia"/>
        </w:rPr>
        <w:t>列入以往国家建设规模、未开工的光伏发电项目，已经确定项目业主的，执行国家相关价格政策；尚未确定项目业主的，由地方单独组织竞争配置确定项目业主和上网电价。</w:t>
      </w:r>
      <w:r>
        <w:t>2020</w:t>
      </w:r>
      <w:r>
        <w:rPr>
          <w:rFonts w:hint="eastAsia"/>
        </w:rPr>
        <w:t>年底仍不能全容量建成并网的光伏发电项目（含二期光伏发电领跑基地项目），不再纳入国家补贴范围。对因红色预警不具备建设条件以及国家另有规定情形的，可以适当放宽建设期限。</w:t>
      </w:r>
    </w:p>
    <w:p>
      <w:pPr>
        <w:pStyle w:val="22"/>
        <w:overflowPunct w:val="0"/>
      </w:pPr>
      <w:r>
        <w:t>3.</w:t>
      </w:r>
      <w:r>
        <w:rPr>
          <w:rFonts w:hint="eastAsia"/>
        </w:rPr>
        <w:t>国家明确的跨省跨区输电通道配套光伏项目，本通知发布前已按相关规定竞争配置确定项目业主和明确上网电价的，继续执行原有政策；本通知发布前已核准输电通道建设、明确配套光伏装机容量但未明确项目业主和上网电价的，按国家能源局相关要求（另行制定）由地方单独组织竞争配置确定项目业主和上网电价；已明确项目业主但未明确上网电价的，按国家相关价格政策执行。</w:t>
      </w:r>
    </w:p>
    <w:p>
      <w:pPr>
        <w:pStyle w:val="22"/>
        <w:overflowPunct w:val="0"/>
      </w:pPr>
      <w:r>
        <w:t>4.</w:t>
      </w:r>
      <w:r>
        <w:rPr>
          <w:rFonts w:hint="eastAsia"/>
        </w:rPr>
        <w:t>示范基地等单独竞争配置的项目不进行补贴申报竞争排序，执行各项目竞争确定的上网电价和相应补贴标准。竞争配置项目时应将上网电价作为主要竞争条件，并参考同地区全国补贴竞价情况合理设置竞价上限。国家光伏发电实证基地项目另行规定。</w:t>
      </w:r>
    </w:p>
    <w:p>
      <w:pPr>
        <w:pStyle w:val="22"/>
        <w:overflowPunct w:val="0"/>
      </w:pPr>
      <w:r>
        <w:t>5.</w:t>
      </w:r>
      <w:r>
        <w:rPr>
          <w:rFonts w:hint="eastAsia"/>
        </w:rPr>
        <w:t>各类示范省、示范区、示范县、示范城市建设的光伏发电项目，已发文下达建设规模的，按已列入以往国家建设规模的相关电价政策执行。</w:t>
      </w:r>
    </w:p>
    <w:p>
      <w:pPr>
        <w:pStyle w:val="22"/>
        <w:overflowPunct w:val="0"/>
      </w:pPr>
      <w:r>
        <w:rPr>
          <w:rFonts w:hint="eastAsia"/>
        </w:rPr>
        <w:t>（四）国家能源局各派出能源监管机构要加强对监管区域电网消纳能力论证、项目竞争配置、电网送出落实、项目并网和消纳等事项的监管。</w:t>
      </w:r>
    </w:p>
    <w:p>
      <w:pPr>
        <w:pStyle w:val="2"/>
        <w:overflowPunct w:val="0"/>
        <w:rPr>
          <w:rFonts w:ascii="Times New Roman" w:hAnsi="Times New Roman"/>
        </w:rPr>
      </w:pPr>
      <w:r>
        <w:rPr>
          <w:rFonts w:hint="eastAsia" w:ascii="Times New Roman" w:hAnsi="Times New Roman"/>
        </w:rPr>
        <w:t>六、</w:t>
      </w:r>
      <w:r>
        <w:rPr>
          <w:rFonts w:ascii="Times New Roman" w:hAnsi="Times New Roman"/>
        </w:rPr>
        <w:t>2019年</w:t>
      </w:r>
      <w:r>
        <w:rPr>
          <w:rFonts w:hint="eastAsia" w:ascii="Times New Roman" w:hAnsi="Times New Roman"/>
        </w:rPr>
        <w:t>工作安排</w:t>
      </w:r>
    </w:p>
    <w:p>
      <w:pPr>
        <w:pStyle w:val="22"/>
        <w:overflowPunct w:val="0"/>
      </w:pPr>
      <w:r>
        <w:rPr>
          <w:rFonts w:hint="eastAsia"/>
        </w:rPr>
        <w:t>根据财政部《可再生能源电价附加补助资金管理暂行办法》等要求，</w:t>
      </w:r>
      <w:r>
        <w:t>2019</w:t>
      </w:r>
      <w:r>
        <w:rPr>
          <w:rFonts w:hint="eastAsia"/>
        </w:rPr>
        <w:t>年度安排新建光伏项目补贴预算总额度为</w:t>
      </w:r>
      <w:r>
        <w:t>30</w:t>
      </w:r>
      <w:r>
        <w:rPr>
          <w:rFonts w:hint="eastAsia"/>
        </w:rPr>
        <w:t>亿元，其中，</w:t>
      </w:r>
      <w:r>
        <w:t>7.5</w:t>
      </w:r>
      <w:r>
        <w:rPr>
          <w:rFonts w:hint="eastAsia"/>
        </w:rPr>
        <w:t>亿元用于户用光伏（折合</w:t>
      </w:r>
      <w:r>
        <w:t>350</w:t>
      </w:r>
      <w:r>
        <w:rPr>
          <w:rFonts w:hint="eastAsia"/>
        </w:rPr>
        <w:t>万千瓦）、补贴竞价项目按</w:t>
      </w:r>
      <w:r>
        <w:t>22.5</w:t>
      </w:r>
      <w:r>
        <w:rPr>
          <w:rFonts w:hint="eastAsia"/>
        </w:rPr>
        <w:t>亿元补贴（不含光伏扶贫）总额组织项目建设，两项合计不突破30亿元预算总额。在全国排序累计补贴总额时，各项目年补贴额为“度电补贴强度×装机容量×年利用小时数”，其中年利用小时数按《关于做好风电、光伏发电全额保障性收购管理工作的通知》（发改能源〔</w:t>
      </w:r>
      <w:r>
        <w:t>2016</w:t>
      </w:r>
      <w:r>
        <w:rPr>
          <w:rFonts w:hint="eastAsia"/>
        </w:rPr>
        <w:t>〕</w:t>
      </w:r>
      <w:r>
        <w:t>1150</w:t>
      </w:r>
      <w:r>
        <w:rPr>
          <w:rFonts w:hint="eastAsia"/>
        </w:rPr>
        <w:t>号）规定的最低保障收购年利用小时数计算，未规定最低保障收购年利用小时数的，按</w:t>
      </w:r>
      <w:r>
        <w:t>II</w:t>
      </w:r>
      <w:r>
        <w:rPr>
          <w:rFonts w:hint="eastAsia"/>
        </w:rPr>
        <w:t>类地区</w:t>
      </w:r>
      <w:r>
        <w:t>1300</w:t>
      </w:r>
      <w:r>
        <w:rPr>
          <w:rFonts w:hint="eastAsia"/>
        </w:rPr>
        <w:t>、</w:t>
      </w:r>
      <w:r>
        <w:t>III</w:t>
      </w:r>
      <w:r>
        <w:rPr>
          <w:rFonts w:hint="eastAsia"/>
        </w:rPr>
        <w:t>类地区</w:t>
      </w:r>
      <w:r>
        <w:t>1100</w:t>
      </w:r>
      <w:r>
        <w:rPr>
          <w:rFonts w:hint="eastAsia"/>
        </w:rPr>
        <w:t>基础小时数计算。</w:t>
      </w:r>
    </w:p>
    <w:p>
      <w:pPr>
        <w:pStyle w:val="22"/>
        <w:overflowPunct w:val="0"/>
      </w:pPr>
      <w:r>
        <w:rPr>
          <w:rFonts w:hint="eastAsia"/>
        </w:rPr>
        <w:t>请各省（区、市）能源主管部门在地方组织竞争配置项目业主、对自愿申报国家补贴项目进行审核等工作基础上，于</w:t>
      </w:r>
      <w:r>
        <w:t>2019</w:t>
      </w:r>
      <w:r>
        <w:rPr>
          <w:rFonts w:hint="eastAsia"/>
        </w:rPr>
        <w:t>年7月1日（含）前按相关要求将</w:t>
      </w:r>
      <w:r>
        <w:t>2019</w:t>
      </w:r>
      <w:r>
        <w:rPr>
          <w:rFonts w:hint="eastAsia"/>
        </w:rPr>
        <w:t>年拟新建的补贴竞价项目、申报上网电价及相关信息报送国家能源局，通过国家能源局门户网站（网址：</w:t>
      </w:r>
      <w:r>
        <w:t>http://www.nea.gov.cn</w:t>
      </w:r>
      <w:r>
        <w:rPr>
          <w:rFonts w:hint="eastAsia"/>
        </w:rPr>
        <w:t>），登录国家可再生能源发电项目信息管理系统填报相关信息，并上传各项支持性文件。</w:t>
      </w:r>
    </w:p>
    <w:p>
      <w:pPr>
        <w:pStyle w:val="22"/>
        <w:overflowPunct w:val="0"/>
      </w:pPr>
      <w:r>
        <w:rPr>
          <w:rFonts w:hint="eastAsia"/>
        </w:rPr>
        <w:t>此前发布的有关光伏发电规模管理的文件规定，凡与本通知不一致的，以本通知为准。请各省（区、市）能源主管部门及各有关方面按照上述要求，认真做好光伏发电项目建设管理工作，共同促进光伏产业健康有序、高质量发展。</w:t>
      </w:r>
    </w:p>
    <w:p>
      <w:pPr>
        <w:pStyle w:val="22"/>
        <w:overflowPunct w:val="0"/>
      </w:pPr>
    </w:p>
    <w:p>
      <w:pPr>
        <w:pStyle w:val="22"/>
        <w:overflowPunct w:val="0"/>
        <w:ind w:left="1415" w:leftChars="199" w:hanging="818"/>
      </w:pPr>
      <w:r>
        <w:rPr>
          <w:rFonts w:hint="eastAsia"/>
        </w:rPr>
        <w:t>附件：</w:t>
      </w:r>
      <w:r>
        <w:t>XX</w:t>
      </w:r>
      <w:r>
        <w:rPr>
          <w:rFonts w:hint="eastAsia"/>
        </w:rPr>
        <w:t>省（区、市）光伏发电国家补贴项目申报材料提纲（参考范本）</w:t>
      </w:r>
    </w:p>
    <w:p>
      <w:pPr>
        <w:widowControl/>
        <w:overflowPunct w:val="0"/>
        <w:spacing w:line="240" w:lineRule="auto"/>
        <w:jc w:val="left"/>
        <w:textAlignment w:val="auto"/>
        <w:rPr>
          <w:spacing w:val="-3"/>
          <w:sz w:val="32"/>
          <w:szCs w:val="32"/>
        </w:rPr>
      </w:pPr>
      <w:r>
        <w:rPr>
          <w:spacing w:val="-3"/>
          <w:sz w:val="32"/>
          <w:szCs w:val="32"/>
        </w:rPr>
        <w:br w:type="page"/>
      </w:r>
    </w:p>
    <w:p>
      <w:pPr>
        <w:overflowPunct w:val="0"/>
        <w:adjustRightInd w:val="0"/>
        <w:snapToGrid w:val="0"/>
        <w:rPr>
          <w:rFonts w:eastAsia="方正黑体_GBK"/>
          <w:spacing w:val="-3"/>
          <w:szCs w:val="30"/>
        </w:rPr>
      </w:pPr>
      <w:r>
        <w:rPr>
          <w:rFonts w:hint="eastAsia" w:eastAsia="方正黑体_GBK"/>
          <w:spacing w:val="-3"/>
          <w:szCs w:val="30"/>
        </w:rPr>
        <w:t>附件</w:t>
      </w:r>
    </w:p>
    <w:p>
      <w:pPr>
        <w:overflowPunct w:val="0"/>
        <w:adjustRightInd w:val="0"/>
        <w:snapToGrid w:val="0"/>
        <w:rPr>
          <w:rFonts w:eastAsia="黑体"/>
          <w:spacing w:val="-3"/>
          <w:sz w:val="32"/>
          <w:szCs w:val="32"/>
        </w:rPr>
      </w:pPr>
    </w:p>
    <w:p>
      <w:pPr>
        <w:pStyle w:val="10"/>
        <w:overflowPunct w:val="0"/>
        <w:rPr>
          <w:rFonts w:ascii="Times New Roman"/>
        </w:rPr>
      </w:pPr>
      <w:r>
        <w:rPr>
          <w:rFonts w:hint="eastAsia" w:ascii="Times New Roman"/>
          <w:spacing w:val="-3"/>
        </w:rPr>
        <w:t>XX</w:t>
      </w:r>
      <w:r>
        <w:rPr>
          <w:rFonts w:hint="eastAsia" w:ascii="Times New Roman"/>
        </w:rPr>
        <w:t>省（区、市）光伏发电国家补贴项目</w:t>
      </w:r>
      <w:r>
        <w:rPr>
          <w:rFonts w:hint="eastAsia" w:ascii="Times New Roman"/>
        </w:rPr>
        <w:br w:type="textWrapping"/>
      </w:r>
      <w:r>
        <w:rPr>
          <w:rFonts w:hint="eastAsia" w:ascii="Times New Roman"/>
        </w:rPr>
        <w:t>申报材料提纲</w:t>
      </w:r>
    </w:p>
    <w:p>
      <w:pPr>
        <w:overflowPunct w:val="0"/>
        <w:jc w:val="center"/>
        <w:outlineLvl w:val="0"/>
        <w:rPr>
          <w:rFonts w:eastAsia="方正楷体_GBK"/>
          <w:szCs w:val="30"/>
        </w:rPr>
      </w:pPr>
      <w:r>
        <w:rPr>
          <w:rFonts w:hint="eastAsia" w:eastAsia="方正楷体_GBK"/>
          <w:szCs w:val="30"/>
        </w:rPr>
        <w:t>（参考范本）</w:t>
      </w:r>
    </w:p>
    <w:p>
      <w:pPr>
        <w:overflowPunct w:val="0"/>
        <w:jc w:val="center"/>
        <w:rPr>
          <w:szCs w:val="30"/>
        </w:rPr>
      </w:pPr>
    </w:p>
    <w:p>
      <w:pPr>
        <w:pStyle w:val="2"/>
        <w:overflowPunct w:val="0"/>
        <w:rPr>
          <w:rFonts w:ascii="Times New Roman" w:hAnsi="Times New Roman"/>
        </w:rPr>
      </w:pPr>
      <w:r>
        <w:rPr>
          <w:rFonts w:hint="eastAsia" w:ascii="Times New Roman" w:hAnsi="Times New Roman"/>
        </w:rPr>
        <w:t>一、基本情况</w:t>
      </w:r>
    </w:p>
    <w:p>
      <w:pPr>
        <w:pStyle w:val="22"/>
        <w:overflowPunct w:val="0"/>
      </w:pPr>
      <w:r>
        <w:rPr>
          <w:rFonts w:hint="eastAsia"/>
        </w:rPr>
        <w:t>简要介绍本省（区、市）太阳能资源、规划、建设、运行、管理情况。主要包括：</w:t>
      </w:r>
    </w:p>
    <w:p>
      <w:pPr>
        <w:pStyle w:val="22"/>
        <w:overflowPunct w:val="0"/>
      </w:pPr>
      <w:r>
        <w:rPr>
          <w:rFonts w:hint="eastAsia"/>
        </w:rPr>
        <w:t>（一）太阳能资源情况：包括年平均太阳能辐射量、太阳能资源分区等。</w:t>
      </w:r>
    </w:p>
    <w:p>
      <w:pPr>
        <w:pStyle w:val="22"/>
        <w:overflowPunct w:val="0"/>
      </w:pPr>
      <w:r>
        <w:rPr>
          <w:rFonts w:hint="eastAsia"/>
        </w:rPr>
        <w:t>（二）规划情况：“十三五”光伏发电规划新增装机和总装机目标。</w:t>
      </w:r>
    </w:p>
    <w:p>
      <w:pPr>
        <w:pStyle w:val="22"/>
        <w:overflowPunct w:val="0"/>
      </w:pPr>
      <w:r>
        <w:rPr>
          <w:rFonts w:hint="eastAsia"/>
        </w:rPr>
        <w:t>（三）建设情况：本省（区、市）截至2</w:t>
      </w:r>
      <w:r>
        <w:t>018</w:t>
      </w:r>
      <w:r>
        <w:rPr>
          <w:rFonts w:hint="eastAsia"/>
        </w:rPr>
        <w:t>年底光伏发电并网装机情况，包括总装机容量，以及集中式光伏电站、分布式光伏（分户用分布式和工商业分布式）等分类统计情况。</w:t>
      </w:r>
    </w:p>
    <w:p>
      <w:pPr>
        <w:pStyle w:val="22"/>
        <w:overflowPunct w:val="0"/>
      </w:pPr>
      <w:r>
        <w:rPr>
          <w:rFonts w:hint="eastAsia"/>
        </w:rPr>
        <w:t>（四）运行情况：2018年光伏发电上网电量、利用小时数、弃光率，以及2017年和201</w:t>
      </w:r>
      <w:r>
        <w:t>8</w:t>
      </w:r>
      <w:r>
        <w:rPr>
          <w:rFonts w:hint="eastAsia"/>
        </w:rPr>
        <w:t>年光伏发电市场环境监测评价结果及分析等。</w:t>
      </w:r>
    </w:p>
    <w:p>
      <w:pPr>
        <w:pStyle w:val="22"/>
        <w:overflowPunct w:val="0"/>
      </w:pPr>
      <w:r>
        <w:rPr>
          <w:rFonts w:hint="eastAsia"/>
        </w:rPr>
        <w:t>（五）消纳情况：简述2018年全省（区、市）光伏发电项目接网消纳、弃光、市场监测评价情况，分析存在问题及原因，并研究提出采取保障改善市场环境的有效措施。</w:t>
      </w:r>
    </w:p>
    <w:p>
      <w:pPr>
        <w:pStyle w:val="22"/>
        <w:overflowPunct w:val="0"/>
      </w:pPr>
      <w:r>
        <w:rPr>
          <w:rFonts w:hint="eastAsia"/>
        </w:rPr>
        <w:t>（六）规划及政策落实情况：对照《国家能源局关于可再生能源发展“十三五”规划实施的指导意见》等文件要求，提供本省（区、市）分年度规模管理及相关政策落实情况，包括有无先建先得、超规模超规划问题及相关情况。</w:t>
      </w:r>
    </w:p>
    <w:p>
      <w:pPr>
        <w:pStyle w:val="2"/>
        <w:overflowPunct w:val="0"/>
        <w:rPr>
          <w:rFonts w:ascii="Times New Roman" w:hAnsi="Times New Roman"/>
        </w:rPr>
      </w:pPr>
      <w:r>
        <w:rPr>
          <w:rFonts w:hint="eastAsia" w:ascii="Times New Roman" w:hAnsi="Times New Roman"/>
        </w:rPr>
        <w:t>二、国家补贴项目申报情况</w:t>
      </w:r>
    </w:p>
    <w:p>
      <w:pPr>
        <w:pStyle w:val="22"/>
        <w:overflowPunct w:val="0"/>
      </w:pPr>
      <w:r>
        <w:rPr>
          <w:rFonts w:hint="eastAsia"/>
        </w:rPr>
        <w:t>（一）简述本次项目竞争性配置和补贴竞价申报、审核总体情况，包括：申报范围、工作组织、主要过程、审核相关情况，以及本次拟申报补贴项目总数量、总装机容量和预计年补贴资金总需求量。</w:t>
      </w:r>
    </w:p>
    <w:p>
      <w:pPr>
        <w:pStyle w:val="22"/>
        <w:overflowPunct w:val="0"/>
      </w:pPr>
      <w:r>
        <w:rPr>
          <w:rFonts w:hint="eastAsia"/>
        </w:rPr>
        <w:t>（二）按普通光伏电站、工商业分布式光伏项目（全额上网模式）、工商业分布式光伏项目（自发自用、余电上网模式）三类分类描述申报项目情况，包括：汇总介绍每类申报项目总体情况（包括项目个数、总装机容量等），测算每类申报项目的预计年上网电量和年补贴资金需求量。</w:t>
      </w:r>
    </w:p>
    <w:p>
      <w:pPr>
        <w:pStyle w:val="22"/>
        <w:overflowPunct w:val="0"/>
      </w:pPr>
      <w:r>
        <w:t>填报</w:t>
      </w:r>
      <w:r>
        <w:rPr>
          <w:rFonts w:hint="eastAsia"/>
        </w:rPr>
        <w:t>补贴竞价</w:t>
      </w:r>
      <w:r>
        <w:t>项目申报表</w:t>
      </w:r>
      <w:r>
        <w:rPr>
          <w:rFonts w:hint="eastAsia"/>
        </w:rPr>
        <w:t>，</w:t>
      </w:r>
      <w:r>
        <w:t>详见附表</w:t>
      </w:r>
      <w:r>
        <w:rPr>
          <w:rFonts w:hint="eastAsia"/>
        </w:rPr>
        <w:t>。</w:t>
      </w:r>
    </w:p>
    <w:p>
      <w:pPr>
        <w:pStyle w:val="2"/>
        <w:overflowPunct w:val="0"/>
        <w:rPr>
          <w:rFonts w:ascii="Times New Roman" w:hAnsi="Times New Roman"/>
        </w:rPr>
      </w:pPr>
      <w:r>
        <w:rPr>
          <w:rFonts w:hint="eastAsia" w:ascii="Times New Roman" w:hAnsi="Times New Roman"/>
        </w:rPr>
        <w:t>三、国家相关政策要求等落实情况</w:t>
      </w:r>
    </w:p>
    <w:p>
      <w:pPr>
        <w:pStyle w:val="3"/>
        <w:overflowPunct w:val="0"/>
        <w:rPr>
          <w:rFonts w:ascii="Times New Roman" w:hAnsi="Times New Roman"/>
        </w:rPr>
      </w:pPr>
      <w:r>
        <w:rPr>
          <w:rFonts w:hint="eastAsia" w:ascii="Times New Roman" w:hAnsi="Times New Roman"/>
        </w:rPr>
        <w:t>（一）全省总体情况</w:t>
      </w:r>
    </w:p>
    <w:p>
      <w:pPr>
        <w:pStyle w:val="22"/>
        <w:overflowPunct w:val="0"/>
      </w:pPr>
      <w:r>
        <w:rPr>
          <w:rFonts w:hint="eastAsia"/>
        </w:rPr>
        <w:t>1.接网消纳落实情况。简述本省（区、市）光伏发电保障性收购制度落实情况；结合本省（区、市）消纳情况简述本次全省申报项目消纳能力（光伏装机容量）、消纳区域和接网条件等。</w:t>
      </w:r>
    </w:p>
    <w:p>
      <w:pPr>
        <w:pStyle w:val="22"/>
        <w:overflowPunct w:val="0"/>
      </w:pPr>
      <w:r>
        <w:rPr>
          <w:rFonts w:hint="eastAsia"/>
        </w:rPr>
        <w:t>2.土地（场地）落实情况。简述本省（区、市）光伏发电土地（场地）资源条件，以及本次全省申报项目地区分布、土地（场地）类型和总体落实情况。</w:t>
      </w:r>
    </w:p>
    <w:p>
      <w:pPr>
        <w:pStyle w:val="22"/>
        <w:overflowPunct w:val="0"/>
      </w:pPr>
      <w:r>
        <w:rPr>
          <w:rFonts w:hint="eastAsia"/>
        </w:rPr>
        <w:t>3.其他政策要求落实情况</w:t>
      </w:r>
    </w:p>
    <w:p>
      <w:pPr>
        <w:pStyle w:val="22"/>
        <w:overflowPunct w:val="0"/>
      </w:pPr>
      <w:r>
        <w:rPr>
          <w:rFonts w:hint="eastAsia"/>
        </w:rPr>
        <w:t>（1）规划要求落实情况，包括申报项目全部实施后是否超过规划目标。</w:t>
      </w:r>
    </w:p>
    <w:p>
      <w:pPr>
        <w:pStyle w:val="22"/>
        <w:overflowPunct w:val="0"/>
      </w:pPr>
      <w:r>
        <w:rPr>
          <w:rFonts w:hint="eastAsia"/>
        </w:rPr>
        <w:t>（2）光伏发电市场环境监测评价相关要求落实情况。</w:t>
      </w:r>
    </w:p>
    <w:p>
      <w:pPr>
        <w:pStyle w:val="22"/>
        <w:overflowPunct w:val="0"/>
      </w:pPr>
      <w:r>
        <w:rPr>
          <w:rFonts w:hint="eastAsia"/>
        </w:rPr>
        <w:t>（3）地方政府出台的光伏发电配套政策情况，包括光伏发电竞争配置工作方案、提高光伏消纳能力相关政策、对土地类型及成本的承诺、综合服务保障体系等。</w:t>
      </w:r>
    </w:p>
    <w:p>
      <w:pPr>
        <w:pStyle w:val="22"/>
        <w:overflowPunct w:val="0"/>
      </w:pPr>
      <w:r>
        <w:rPr>
          <w:rFonts w:hint="eastAsia"/>
        </w:rPr>
        <w:t>（4）其他需要说明的情况或问题。</w:t>
      </w:r>
    </w:p>
    <w:p>
      <w:pPr>
        <w:pStyle w:val="3"/>
        <w:overflowPunct w:val="0"/>
        <w:rPr>
          <w:rFonts w:ascii="Times New Roman" w:hAnsi="Times New Roman"/>
        </w:rPr>
      </w:pPr>
      <w:r>
        <w:rPr>
          <w:rFonts w:hint="eastAsia" w:ascii="Times New Roman" w:hAnsi="Times New Roman"/>
        </w:rPr>
        <w:t>（二）普通光伏电站情况</w:t>
      </w:r>
    </w:p>
    <w:p>
      <w:pPr>
        <w:pStyle w:val="22"/>
        <w:overflowPunct w:val="0"/>
      </w:pPr>
      <w:r>
        <w:rPr>
          <w:rFonts w:hint="eastAsia"/>
        </w:rPr>
        <w:t>1.接网消纳落实情况</w:t>
      </w:r>
    </w:p>
    <w:p>
      <w:pPr>
        <w:pStyle w:val="22"/>
        <w:overflowPunct w:val="0"/>
      </w:pPr>
      <w:r>
        <w:rPr>
          <w:rFonts w:hint="eastAsia"/>
        </w:rPr>
        <w:t>说明本次申报项目是否均在消纳能力范围内并逐一出具了支持性文件，分别列出本地消纳、外送消纳的装机容量。</w:t>
      </w:r>
    </w:p>
    <w:p>
      <w:pPr>
        <w:pStyle w:val="22"/>
        <w:overflowPunct w:val="0"/>
      </w:pPr>
      <w:r>
        <w:rPr>
          <w:rFonts w:hint="eastAsia"/>
        </w:rPr>
        <w:t>说明本次申报项目接入送出工程是否均已明确由电网企业投资建设并可与项目申报的预计投产时间衔接一致。</w:t>
      </w:r>
    </w:p>
    <w:p>
      <w:pPr>
        <w:pStyle w:val="22"/>
        <w:overflowPunct w:val="0"/>
      </w:pPr>
      <w:r>
        <w:rPr>
          <w:rFonts w:hint="eastAsia"/>
        </w:rPr>
        <w:t>2.土地（场地）落实情况</w:t>
      </w:r>
    </w:p>
    <w:p>
      <w:pPr>
        <w:pStyle w:val="22"/>
        <w:overflowPunct w:val="0"/>
      </w:pPr>
      <w:r>
        <w:rPr>
          <w:rFonts w:hint="eastAsia"/>
        </w:rPr>
        <w:t>说明本次申报项目是否均属于国家允许建设光伏项目的场地、不占用基本农田且不涉及生态红线等限制开发的区域，说明场地使用费用的范围。</w:t>
      </w:r>
    </w:p>
    <w:p>
      <w:pPr>
        <w:pStyle w:val="3"/>
        <w:overflowPunct w:val="0"/>
        <w:rPr>
          <w:rFonts w:ascii="Times New Roman" w:hAnsi="Times New Roman"/>
        </w:rPr>
      </w:pPr>
      <w:r>
        <w:rPr>
          <w:rFonts w:hint="eastAsia" w:ascii="Times New Roman" w:hAnsi="Times New Roman"/>
        </w:rPr>
        <w:t>（三）工商业分布式光伏项目情况</w:t>
      </w:r>
    </w:p>
    <w:p>
      <w:pPr>
        <w:pStyle w:val="22"/>
        <w:overflowPunct w:val="0"/>
      </w:pPr>
      <w:r>
        <w:rPr>
          <w:rFonts w:hint="eastAsia"/>
        </w:rPr>
        <w:t>1.接网消纳落实情况</w:t>
      </w:r>
    </w:p>
    <w:p>
      <w:pPr>
        <w:pStyle w:val="22"/>
        <w:overflowPunct w:val="0"/>
      </w:pPr>
      <w:r>
        <w:rPr>
          <w:rFonts w:hint="eastAsia"/>
        </w:rPr>
        <w:t>说明本次申报项目是否均在消纳能力范围内；说明本次申报项目消纳区域（或就近利用范围/电压等级范围）。如存在由地市或省级电网企业针对多个分布式项目统一出具支持性文件的，还需说明新增分布式项目装机总量及附表中各项目是否均已纳入该支持性文件。</w:t>
      </w:r>
    </w:p>
    <w:p>
      <w:pPr>
        <w:pStyle w:val="22"/>
        <w:overflowPunct w:val="0"/>
      </w:pPr>
      <w:r>
        <w:rPr>
          <w:rFonts w:hint="eastAsia"/>
        </w:rPr>
        <w:t>2.土地（场地）落实情况</w:t>
      </w:r>
    </w:p>
    <w:p>
      <w:pPr>
        <w:pStyle w:val="22"/>
        <w:overflowPunct w:val="0"/>
      </w:pPr>
      <w:r>
        <w:rPr>
          <w:rFonts w:hint="eastAsia"/>
        </w:rPr>
        <w:t>说明本次申报项目场地是否均属于国家允许建设光伏项目的场地，并说明场地使用费用的范围。其中如有地面建设的，说明是否均不占用基本农田且不涉及生态红线等限制开发的区域；如有依托建筑物建设的，说明是否已落实场地使用权。</w:t>
      </w:r>
    </w:p>
    <w:p>
      <w:pPr>
        <w:pStyle w:val="22"/>
        <w:overflowPunct w:val="0"/>
      </w:pPr>
      <w:r>
        <w:rPr>
          <w:rFonts w:hint="eastAsia"/>
        </w:rPr>
        <w:t>各类项目均须按附表填写每个项目的接网消纳、土地（场地）落实情况，并提供支持性文件。其中工商业分布式光伏项目可仅提供所在地市或省份的电网企业针对多个分布式项目（或新增分布式项目装机总量）统一出具的接网消纳文件。</w:t>
      </w:r>
    </w:p>
    <w:p>
      <w:pPr>
        <w:pStyle w:val="2"/>
        <w:overflowPunct w:val="0"/>
        <w:rPr>
          <w:rFonts w:ascii="Times New Roman" w:hAnsi="Times New Roman"/>
        </w:rPr>
      </w:pPr>
      <w:r>
        <w:rPr>
          <w:rFonts w:hint="eastAsia" w:ascii="Times New Roman" w:hAnsi="Times New Roman"/>
        </w:rPr>
        <w:t>四、主要支持性文件</w:t>
      </w:r>
    </w:p>
    <w:p>
      <w:pPr>
        <w:pStyle w:val="22"/>
        <w:overflowPunct w:val="0"/>
      </w:pPr>
      <w:r>
        <w:rPr>
          <w:rFonts w:hint="eastAsia"/>
        </w:rPr>
        <w:t>（一）本省（区、市）电力消纳市场及接入系统研究报告。省级电网公司提供全省新增光伏消纳能力分析评价意见。</w:t>
      </w:r>
    </w:p>
    <w:p>
      <w:pPr>
        <w:pStyle w:val="22"/>
        <w:overflowPunct w:val="0"/>
      </w:pPr>
      <w:r>
        <w:rPr>
          <w:rFonts w:hint="eastAsia"/>
        </w:rPr>
        <w:t>（二）地方政府支撑性文件。包括土地类型及成本、综合服务保障体系落实情况及配套支持政策。</w:t>
      </w:r>
    </w:p>
    <w:p>
      <w:pPr>
        <w:pStyle w:val="22"/>
        <w:overflowPunct w:val="0"/>
      </w:pPr>
      <w:r>
        <w:rPr>
          <w:rFonts w:hint="eastAsia"/>
        </w:rPr>
        <w:t>（三）省级电网（地方电网）公司承诺文件。包括对全省申报项目和各申报项目消纳市场及接入系统方案的论证材料，以及接入系统建设承诺、消纳保障承诺等。</w:t>
      </w:r>
    </w:p>
    <w:p>
      <w:pPr>
        <w:pStyle w:val="22"/>
        <w:overflowPunct w:val="0"/>
      </w:pPr>
      <w:r>
        <w:rPr>
          <w:rFonts w:hint="eastAsia"/>
        </w:rPr>
        <w:t>通知印发前已于本年度建成并网的新建光伏发电项目，须提供电网企业出具的并网时间证明材料。</w:t>
      </w:r>
    </w:p>
    <w:p>
      <w:pPr>
        <w:pStyle w:val="22"/>
        <w:overflowPunct w:val="0"/>
      </w:pPr>
      <w:r>
        <w:rPr>
          <w:rFonts w:hint="eastAsia"/>
        </w:rPr>
        <w:t>以上文件为申报必须提供的材料，纸质版和电子版随文报送。其中工商业分布式光伏项目的接网消纳支持文件不用每个项目单独出具。</w:t>
      </w:r>
    </w:p>
    <w:p>
      <w:pPr>
        <w:pStyle w:val="22"/>
        <w:overflowPunct w:val="0"/>
      </w:pPr>
      <w:r>
        <w:rPr>
          <w:rFonts w:hint="eastAsia"/>
        </w:rPr>
        <w:t>各</w:t>
      </w:r>
      <w:r>
        <w:t>省</w:t>
      </w:r>
      <w:r>
        <w:rPr>
          <w:rFonts w:hint="eastAsia"/>
        </w:rPr>
        <w:t>（区、市）能源主管部门应通过国家能源局门户网站（网址：</w:t>
      </w:r>
      <w:r>
        <w:t>http://www.nea.gov.cn</w:t>
      </w:r>
      <w:r>
        <w:rPr>
          <w:rFonts w:hint="eastAsia"/>
        </w:rPr>
        <w:t>），登录国家可再生能源发电项目信息管理系统填报附表相关信息，并上传所取得的各项支持性文件。</w:t>
      </w:r>
    </w:p>
    <w:p>
      <w:pPr>
        <w:pStyle w:val="22"/>
        <w:overflowPunct w:val="0"/>
      </w:pPr>
      <w:r>
        <w:rPr>
          <w:rFonts w:hint="eastAsia"/>
        </w:rPr>
        <w:t>报送国家能源局纸质申报材料有关信息应与在线提交申报信息一致，如出现不一致的情况，以报送系统申报信息为准。</w:t>
      </w:r>
    </w:p>
    <w:p>
      <w:pPr>
        <w:pStyle w:val="22"/>
        <w:overflowPunct w:val="0"/>
      </w:pPr>
    </w:p>
    <w:p>
      <w:pPr>
        <w:pStyle w:val="22"/>
        <w:overflowPunct w:val="0"/>
      </w:pPr>
      <w:r>
        <w:rPr>
          <w:rFonts w:hint="eastAsia"/>
        </w:rPr>
        <w:t>附表：XX</w:t>
      </w:r>
      <w:r>
        <w:t>省（区、市）光伏发电</w:t>
      </w:r>
      <w:r>
        <w:rPr>
          <w:rFonts w:hint="eastAsia"/>
        </w:rPr>
        <w:t>国家补贴竞价</w:t>
      </w:r>
      <w:r>
        <w:t>项目申报表</w:t>
      </w:r>
    </w:p>
    <w:p>
      <w:pPr>
        <w:tabs>
          <w:tab w:val="center" w:pos="4620"/>
          <w:tab w:val="right" w:pos="9241"/>
        </w:tabs>
        <w:overflowPunct w:val="0"/>
        <w:rPr>
          <w:rFonts w:eastAsia="黑体" w:cs="Calibri"/>
          <w:color w:val="000000"/>
          <w:szCs w:val="30"/>
        </w:rPr>
      </w:pPr>
    </w:p>
    <w:p>
      <w:pPr>
        <w:tabs>
          <w:tab w:val="center" w:pos="4620"/>
          <w:tab w:val="right" w:pos="9241"/>
        </w:tabs>
        <w:overflowPunct w:val="0"/>
        <w:rPr>
          <w:rFonts w:eastAsia="黑体" w:cs="Calibri"/>
          <w:color w:val="000000"/>
          <w:szCs w:val="30"/>
        </w:rPr>
        <w:sectPr>
          <w:headerReference r:id="rId3" w:type="default"/>
          <w:footerReference r:id="rId5" w:type="default"/>
          <w:headerReference r:id="rId4" w:type="even"/>
          <w:footerReference r:id="rId6" w:type="even"/>
          <w:pgSz w:w="11906" w:h="16838"/>
          <w:pgMar w:top="1985" w:right="1616" w:bottom="1814" w:left="1616" w:header="851" w:footer="1474" w:gutter="0"/>
          <w:pgNumType w:fmt="decimal"/>
          <w:cols w:space="425" w:num="1"/>
          <w:docGrid w:type="lines" w:linePitch="588" w:charSpace="0"/>
        </w:sectPr>
      </w:pPr>
    </w:p>
    <w:p>
      <w:pPr>
        <w:widowControl/>
        <w:overflowPunct w:val="0"/>
        <w:spacing w:line="240" w:lineRule="auto"/>
        <w:jc w:val="left"/>
        <w:textAlignment w:val="auto"/>
        <w:rPr>
          <w:rFonts w:eastAsia="方正黑体_GBK"/>
          <w:szCs w:val="30"/>
        </w:rPr>
      </w:pPr>
      <w:r>
        <w:rPr>
          <w:rFonts w:hint="eastAsia" w:eastAsia="方正黑体_GBK"/>
          <w:szCs w:val="30"/>
        </w:rPr>
        <w:t>附表</w:t>
      </w:r>
    </w:p>
    <w:p>
      <w:pPr>
        <w:overflowPunct w:val="0"/>
        <w:jc w:val="center"/>
        <w:textAlignment w:val="auto"/>
        <w:outlineLvl w:val="0"/>
        <w:rPr>
          <w:rFonts w:ascii="方正小标宋_GBK" w:eastAsia="方正小标宋_GBK"/>
          <w:sz w:val="36"/>
          <w:szCs w:val="36"/>
        </w:rPr>
      </w:pPr>
      <w:r>
        <w:rPr>
          <w:rFonts w:eastAsia="方正小标宋_GBK"/>
          <w:sz w:val="36"/>
          <w:szCs w:val="36"/>
        </w:rPr>
        <w:t>XX</w:t>
      </w:r>
      <w:r>
        <w:rPr>
          <w:rFonts w:hint="eastAsia" w:ascii="方正小标宋_GBK" w:eastAsia="方正小标宋_GBK"/>
          <w:sz w:val="36"/>
          <w:szCs w:val="36"/>
        </w:rPr>
        <w:t>省（区、市）光伏发电国家补贴竞价项目申报表</w:t>
      </w:r>
    </w:p>
    <w:tbl>
      <w:tblPr>
        <w:tblStyle w:val="12"/>
        <w:tblW w:w="119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529"/>
        <w:gridCol w:w="531"/>
        <w:gridCol w:w="481"/>
        <w:gridCol w:w="677"/>
        <w:gridCol w:w="665"/>
        <w:gridCol w:w="399"/>
        <w:gridCol w:w="531"/>
        <w:gridCol w:w="792"/>
        <w:gridCol w:w="792"/>
        <w:gridCol w:w="792"/>
        <w:gridCol w:w="1057"/>
        <w:gridCol w:w="663"/>
        <w:gridCol w:w="794"/>
        <w:gridCol w:w="923"/>
        <w:gridCol w:w="663"/>
        <w:gridCol w:w="794"/>
        <w:gridCol w:w="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shd w:val="clear" w:color="auto" w:fill="auto"/>
            <w:vAlign w:val="center"/>
          </w:tcPr>
          <w:p>
            <w:pPr>
              <w:overflowPunct w:val="0"/>
              <w:adjustRightInd w:val="0"/>
              <w:snapToGrid w:val="0"/>
              <w:spacing w:line="240" w:lineRule="auto"/>
              <w:jc w:val="center"/>
              <w:textAlignment w:val="auto"/>
              <w:rPr>
                <w:rFonts w:eastAsia="宋体"/>
                <w:sz w:val="18"/>
                <w:szCs w:val="18"/>
              </w:rPr>
            </w:pPr>
            <w:r>
              <w:rPr>
                <w:rFonts w:eastAsia="宋体"/>
                <w:sz w:val="18"/>
                <w:szCs w:val="18"/>
              </w:rPr>
              <w:t>序号</w:t>
            </w:r>
          </w:p>
        </w:tc>
        <w:tc>
          <w:tcPr>
            <w:tcW w:w="529" w:type="dxa"/>
            <w:shd w:val="clear" w:color="auto" w:fill="auto"/>
            <w:vAlign w:val="center"/>
          </w:tcPr>
          <w:p>
            <w:pPr>
              <w:overflowPunct w:val="0"/>
              <w:adjustRightInd w:val="0"/>
              <w:snapToGrid w:val="0"/>
              <w:spacing w:line="240" w:lineRule="auto"/>
              <w:jc w:val="center"/>
              <w:textAlignment w:val="auto"/>
              <w:rPr>
                <w:rFonts w:eastAsia="宋体"/>
                <w:sz w:val="18"/>
                <w:szCs w:val="18"/>
              </w:rPr>
            </w:pPr>
            <w:r>
              <w:rPr>
                <w:rFonts w:eastAsia="宋体"/>
                <w:sz w:val="18"/>
                <w:szCs w:val="18"/>
              </w:rPr>
              <w:t>项目</w:t>
            </w:r>
          </w:p>
          <w:p>
            <w:pPr>
              <w:overflowPunct w:val="0"/>
              <w:adjustRightInd w:val="0"/>
              <w:snapToGrid w:val="0"/>
              <w:spacing w:line="240" w:lineRule="auto"/>
              <w:jc w:val="center"/>
              <w:textAlignment w:val="auto"/>
              <w:rPr>
                <w:rFonts w:eastAsia="宋体"/>
                <w:sz w:val="18"/>
                <w:szCs w:val="18"/>
              </w:rPr>
            </w:pPr>
            <w:r>
              <w:rPr>
                <w:rFonts w:eastAsia="宋体"/>
                <w:sz w:val="18"/>
                <w:szCs w:val="18"/>
              </w:rPr>
              <w:t>名称</w:t>
            </w:r>
          </w:p>
        </w:tc>
        <w:tc>
          <w:tcPr>
            <w:tcW w:w="531" w:type="dxa"/>
            <w:shd w:val="clear" w:color="auto" w:fill="auto"/>
            <w:vAlign w:val="center"/>
          </w:tcPr>
          <w:p>
            <w:pPr>
              <w:overflowPunct w:val="0"/>
              <w:adjustRightInd w:val="0"/>
              <w:snapToGrid w:val="0"/>
              <w:spacing w:line="240" w:lineRule="auto"/>
              <w:jc w:val="center"/>
              <w:textAlignment w:val="auto"/>
              <w:rPr>
                <w:rFonts w:eastAsia="宋体"/>
                <w:sz w:val="18"/>
                <w:szCs w:val="18"/>
              </w:rPr>
            </w:pPr>
            <w:r>
              <w:rPr>
                <w:rFonts w:eastAsia="宋体"/>
                <w:sz w:val="18"/>
                <w:szCs w:val="18"/>
              </w:rPr>
              <w:t>项目</w:t>
            </w:r>
          </w:p>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类型</w:t>
            </w:r>
          </w:p>
        </w:tc>
        <w:tc>
          <w:tcPr>
            <w:tcW w:w="481" w:type="dxa"/>
            <w:shd w:val="clear" w:color="auto" w:fill="auto"/>
            <w:vAlign w:val="center"/>
          </w:tcPr>
          <w:p>
            <w:pPr>
              <w:overflowPunct w:val="0"/>
              <w:adjustRightInd w:val="0"/>
              <w:snapToGrid w:val="0"/>
              <w:spacing w:line="240" w:lineRule="auto"/>
              <w:jc w:val="center"/>
              <w:textAlignment w:val="auto"/>
              <w:rPr>
                <w:rFonts w:eastAsia="宋体"/>
                <w:sz w:val="18"/>
                <w:szCs w:val="18"/>
              </w:rPr>
            </w:pPr>
            <w:r>
              <w:rPr>
                <w:rFonts w:eastAsia="宋体"/>
                <w:sz w:val="18"/>
                <w:szCs w:val="18"/>
              </w:rPr>
              <w:t>项目</w:t>
            </w:r>
          </w:p>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地点</w:t>
            </w:r>
          </w:p>
        </w:tc>
        <w:tc>
          <w:tcPr>
            <w:tcW w:w="677" w:type="dxa"/>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项目所在资源区</w:t>
            </w:r>
          </w:p>
        </w:tc>
        <w:tc>
          <w:tcPr>
            <w:tcW w:w="665" w:type="dxa"/>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项目</w:t>
            </w:r>
          </w:p>
          <w:p>
            <w:pPr>
              <w:overflowPunct w:val="0"/>
              <w:adjustRightInd w:val="0"/>
              <w:snapToGrid w:val="0"/>
              <w:spacing w:line="240" w:lineRule="auto"/>
              <w:jc w:val="center"/>
              <w:textAlignment w:val="auto"/>
              <w:rPr>
                <w:rFonts w:eastAsia="宋体"/>
                <w:sz w:val="18"/>
                <w:szCs w:val="18"/>
              </w:rPr>
            </w:pPr>
            <w:r>
              <w:rPr>
                <w:rFonts w:eastAsia="宋体"/>
                <w:sz w:val="18"/>
                <w:szCs w:val="18"/>
              </w:rPr>
              <w:t>容量</w:t>
            </w:r>
          </w:p>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（万千瓦）</w:t>
            </w:r>
          </w:p>
        </w:tc>
        <w:tc>
          <w:tcPr>
            <w:tcW w:w="399" w:type="dxa"/>
            <w:shd w:val="clear" w:color="auto" w:fill="auto"/>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项目</w:t>
            </w:r>
          </w:p>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业主</w:t>
            </w:r>
          </w:p>
        </w:tc>
        <w:tc>
          <w:tcPr>
            <w:tcW w:w="531" w:type="dxa"/>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主要投资方</w:t>
            </w:r>
          </w:p>
        </w:tc>
        <w:tc>
          <w:tcPr>
            <w:tcW w:w="792" w:type="dxa"/>
            <w:shd w:val="clear" w:color="auto" w:fill="auto"/>
            <w:vAlign w:val="center"/>
          </w:tcPr>
          <w:p>
            <w:pPr>
              <w:overflowPunct w:val="0"/>
              <w:adjustRightInd w:val="0"/>
              <w:snapToGrid w:val="0"/>
              <w:spacing w:line="240" w:lineRule="auto"/>
              <w:jc w:val="center"/>
              <w:textAlignment w:val="auto"/>
              <w:rPr>
                <w:rFonts w:eastAsia="宋体"/>
                <w:sz w:val="18"/>
                <w:szCs w:val="18"/>
              </w:rPr>
            </w:pPr>
            <w:r>
              <w:rPr>
                <w:rFonts w:eastAsia="宋体"/>
                <w:sz w:val="18"/>
                <w:szCs w:val="18"/>
              </w:rPr>
              <w:t>是否</w:t>
            </w:r>
            <w:r>
              <w:rPr>
                <w:rFonts w:hint="eastAsia" w:eastAsia="宋体"/>
                <w:sz w:val="18"/>
                <w:szCs w:val="18"/>
              </w:rPr>
              <w:t>进行业主招标</w:t>
            </w:r>
          </w:p>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（是/否）</w:t>
            </w:r>
          </w:p>
        </w:tc>
        <w:tc>
          <w:tcPr>
            <w:tcW w:w="792" w:type="dxa"/>
            <w:shd w:val="clear" w:color="auto" w:fill="auto"/>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项目预期年发电小时数</w:t>
            </w:r>
          </w:p>
        </w:tc>
        <w:tc>
          <w:tcPr>
            <w:tcW w:w="792" w:type="dxa"/>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项目预期年发电量</w:t>
            </w:r>
          </w:p>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（万千瓦时）</w:t>
            </w:r>
          </w:p>
        </w:tc>
        <w:tc>
          <w:tcPr>
            <w:tcW w:w="1057" w:type="dxa"/>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本地区最低保障收购小时数或本地区基础利用小时数</w:t>
            </w:r>
          </w:p>
        </w:tc>
        <w:tc>
          <w:tcPr>
            <w:tcW w:w="663" w:type="dxa"/>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前期工作开展情况</w:t>
            </w:r>
          </w:p>
        </w:tc>
        <w:tc>
          <w:tcPr>
            <w:tcW w:w="794" w:type="dxa"/>
            <w:shd w:val="clear" w:color="auto" w:fill="auto"/>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计划（申报）投产时间</w:t>
            </w:r>
          </w:p>
        </w:tc>
        <w:tc>
          <w:tcPr>
            <w:tcW w:w="923" w:type="dxa"/>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补贴竞价申报上网电价</w:t>
            </w:r>
          </w:p>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（元/千瓦时）</w:t>
            </w:r>
          </w:p>
        </w:tc>
        <w:tc>
          <w:tcPr>
            <w:tcW w:w="663" w:type="dxa"/>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落实用地的支持性文件</w:t>
            </w:r>
          </w:p>
        </w:tc>
        <w:tc>
          <w:tcPr>
            <w:tcW w:w="794" w:type="dxa"/>
            <w:shd w:val="clear" w:color="auto" w:fill="auto"/>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落实接网消纳的支持性文件</w:t>
            </w:r>
          </w:p>
        </w:tc>
        <w:tc>
          <w:tcPr>
            <w:tcW w:w="423" w:type="dxa"/>
            <w:shd w:val="clear" w:color="auto" w:fill="auto"/>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29"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31"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481"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677" w:type="dxa"/>
            <w:vAlign w:val="center"/>
          </w:tcPr>
          <w:p>
            <w:pPr>
              <w:overflowPunct w:val="0"/>
              <w:adjustRightInd w:val="0"/>
              <w:snapToGrid w:val="0"/>
              <w:spacing w:line="240" w:lineRule="auto"/>
              <w:jc w:val="center"/>
              <w:textAlignment w:val="auto"/>
              <w:rPr>
                <w:rFonts w:eastAsia="宋体"/>
                <w:sz w:val="18"/>
                <w:szCs w:val="18"/>
              </w:rPr>
            </w:pPr>
          </w:p>
        </w:tc>
        <w:tc>
          <w:tcPr>
            <w:tcW w:w="665" w:type="dxa"/>
            <w:vAlign w:val="center"/>
          </w:tcPr>
          <w:p>
            <w:pPr>
              <w:overflowPunct w:val="0"/>
              <w:adjustRightInd w:val="0"/>
              <w:snapToGrid w:val="0"/>
              <w:spacing w:line="240" w:lineRule="auto"/>
              <w:jc w:val="center"/>
              <w:textAlignment w:val="auto"/>
              <w:rPr>
                <w:rFonts w:eastAsia="宋体"/>
                <w:sz w:val="18"/>
                <w:szCs w:val="18"/>
              </w:rPr>
            </w:pPr>
          </w:p>
        </w:tc>
        <w:tc>
          <w:tcPr>
            <w:tcW w:w="399"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31" w:type="dxa"/>
            <w:vAlign w:val="center"/>
          </w:tcPr>
          <w:p>
            <w:pPr>
              <w:overflowPunct w:val="0"/>
              <w:adjustRightInd w:val="0"/>
              <w:snapToGrid w:val="0"/>
              <w:spacing w:line="240" w:lineRule="auto"/>
              <w:jc w:val="center"/>
              <w:textAlignment w:val="auto"/>
              <w:rPr>
                <w:rFonts w:eastAsia="宋体"/>
                <w:sz w:val="18"/>
                <w:szCs w:val="18"/>
              </w:rPr>
            </w:pPr>
          </w:p>
        </w:tc>
        <w:tc>
          <w:tcPr>
            <w:tcW w:w="792"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792"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792" w:type="dxa"/>
            <w:vAlign w:val="center"/>
          </w:tcPr>
          <w:p>
            <w:pPr>
              <w:overflowPunct w:val="0"/>
              <w:adjustRightInd w:val="0"/>
              <w:snapToGrid w:val="0"/>
              <w:spacing w:line="240" w:lineRule="auto"/>
              <w:jc w:val="center"/>
              <w:textAlignment w:val="auto"/>
              <w:rPr>
                <w:rFonts w:eastAsia="宋体"/>
                <w:sz w:val="18"/>
                <w:szCs w:val="18"/>
              </w:rPr>
            </w:pPr>
          </w:p>
        </w:tc>
        <w:tc>
          <w:tcPr>
            <w:tcW w:w="1057" w:type="dxa"/>
            <w:vAlign w:val="center"/>
          </w:tcPr>
          <w:p>
            <w:pPr>
              <w:overflowPunct w:val="0"/>
              <w:adjustRightInd w:val="0"/>
              <w:snapToGrid w:val="0"/>
              <w:spacing w:line="240" w:lineRule="auto"/>
              <w:jc w:val="center"/>
              <w:textAlignment w:val="auto"/>
              <w:rPr>
                <w:rFonts w:eastAsia="宋体"/>
                <w:sz w:val="18"/>
                <w:szCs w:val="18"/>
              </w:rPr>
            </w:pPr>
          </w:p>
        </w:tc>
        <w:tc>
          <w:tcPr>
            <w:tcW w:w="663" w:type="dxa"/>
            <w:vAlign w:val="center"/>
          </w:tcPr>
          <w:p>
            <w:pPr>
              <w:overflowPunct w:val="0"/>
              <w:adjustRightInd w:val="0"/>
              <w:snapToGrid w:val="0"/>
              <w:spacing w:line="240" w:lineRule="auto"/>
              <w:jc w:val="center"/>
              <w:textAlignment w:val="auto"/>
              <w:rPr>
                <w:rFonts w:eastAsia="宋体"/>
                <w:sz w:val="18"/>
                <w:szCs w:val="18"/>
              </w:rPr>
            </w:pPr>
          </w:p>
        </w:tc>
        <w:tc>
          <w:tcPr>
            <w:tcW w:w="794"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923" w:type="dxa"/>
            <w:vAlign w:val="center"/>
          </w:tcPr>
          <w:p>
            <w:pPr>
              <w:overflowPunct w:val="0"/>
              <w:adjustRightInd w:val="0"/>
              <w:snapToGrid w:val="0"/>
              <w:spacing w:line="240" w:lineRule="auto"/>
              <w:jc w:val="center"/>
              <w:textAlignment w:val="auto"/>
              <w:rPr>
                <w:rFonts w:eastAsia="宋体"/>
                <w:sz w:val="18"/>
                <w:szCs w:val="18"/>
              </w:rPr>
            </w:pPr>
          </w:p>
        </w:tc>
        <w:tc>
          <w:tcPr>
            <w:tcW w:w="663" w:type="dxa"/>
            <w:vAlign w:val="center"/>
          </w:tcPr>
          <w:p>
            <w:pPr>
              <w:overflowPunct w:val="0"/>
              <w:adjustRightInd w:val="0"/>
              <w:snapToGrid w:val="0"/>
              <w:spacing w:line="240" w:lineRule="auto"/>
              <w:jc w:val="center"/>
              <w:textAlignment w:val="auto"/>
              <w:rPr>
                <w:rFonts w:eastAsia="宋体"/>
                <w:sz w:val="18"/>
                <w:szCs w:val="18"/>
              </w:rPr>
            </w:pPr>
          </w:p>
        </w:tc>
        <w:tc>
          <w:tcPr>
            <w:tcW w:w="794"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423"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29"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31"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481"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677" w:type="dxa"/>
            <w:vAlign w:val="center"/>
          </w:tcPr>
          <w:p>
            <w:pPr>
              <w:overflowPunct w:val="0"/>
              <w:adjustRightInd w:val="0"/>
              <w:snapToGrid w:val="0"/>
              <w:spacing w:line="240" w:lineRule="auto"/>
              <w:jc w:val="center"/>
              <w:textAlignment w:val="auto"/>
              <w:rPr>
                <w:rFonts w:eastAsia="宋体"/>
                <w:sz w:val="18"/>
                <w:szCs w:val="18"/>
              </w:rPr>
            </w:pPr>
          </w:p>
        </w:tc>
        <w:tc>
          <w:tcPr>
            <w:tcW w:w="665" w:type="dxa"/>
            <w:vAlign w:val="center"/>
          </w:tcPr>
          <w:p>
            <w:pPr>
              <w:overflowPunct w:val="0"/>
              <w:adjustRightInd w:val="0"/>
              <w:snapToGrid w:val="0"/>
              <w:spacing w:line="240" w:lineRule="auto"/>
              <w:jc w:val="center"/>
              <w:textAlignment w:val="auto"/>
              <w:rPr>
                <w:rFonts w:eastAsia="宋体"/>
                <w:sz w:val="18"/>
                <w:szCs w:val="18"/>
              </w:rPr>
            </w:pPr>
          </w:p>
        </w:tc>
        <w:tc>
          <w:tcPr>
            <w:tcW w:w="399"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31" w:type="dxa"/>
            <w:vAlign w:val="center"/>
          </w:tcPr>
          <w:p>
            <w:pPr>
              <w:overflowPunct w:val="0"/>
              <w:adjustRightInd w:val="0"/>
              <w:snapToGrid w:val="0"/>
              <w:spacing w:line="240" w:lineRule="auto"/>
              <w:jc w:val="center"/>
              <w:textAlignment w:val="auto"/>
              <w:rPr>
                <w:rFonts w:eastAsia="宋体"/>
                <w:sz w:val="18"/>
                <w:szCs w:val="18"/>
              </w:rPr>
            </w:pPr>
          </w:p>
        </w:tc>
        <w:tc>
          <w:tcPr>
            <w:tcW w:w="792"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792"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792" w:type="dxa"/>
            <w:vAlign w:val="center"/>
          </w:tcPr>
          <w:p>
            <w:pPr>
              <w:overflowPunct w:val="0"/>
              <w:adjustRightInd w:val="0"/>
              <w:snapToGrid w:val="0"/>
              <w:spacing w:line="240" w:lineRule="auto"/>
              <w:jc w:val="center"/>
              <w:textAlignment w:val="auto"/>
              <w:rPr>
                <w:rFonts w:eastAsia="宋体"/>
                <w:sz w:val="18"/>
                <w:szCs w:val="18"/>
              </w:rPr>
            </w:pPr>
          </w:p>
        </w:tc>
        <w:tc>
          <w:tcPr>
            <w:tcW w:w="1057" w:type="dxa"/>
            <w:vAlign w:val="center"/>
          </w:tcPr>
          <w:p>
            <w:pPr>
              <w:overflowPunct w:val="0"/>
              <w:adjustRightInd w:val="0"/>
              <w:snapToGrid w:val="0"/>
              <w:spacing w:line="240" w:lineRule="auto"/>
              <w:jc w:val="center"/>
              <w:textAlignment w:val="auto"/>
              <w:rPr>
                <w:rFonts w:eastAsia="宋体"/>
                <w:sz w:val="18"/>
                <w:szCs w:val="18"/>
              </w:rPr>
            </w:pPr>
          </w:p>
        </w:tc>
        <w:tc>
          <w:tcPr>
            <w:tcW w:w="663" w:type="dxa"/>
            <w:vAlign w:val="center"/>
          </w:tcPr>
          <w:p>
            <w:pPr>
              <w:overflowPunct w:val="0"/>
              <w:adjustRightInd w:val="0"/>
              <w:snapToGrid w:val="0"/>
              <w:spacing w:line="240" w:lineRule="auto"/>
              <w:jc w:val="center"/>
              <w:textAlignment w:val="auto"/>
              <w:rPr>
                <w:rFonts w:eastAsia="宋体"/>
                <w:sz w:val="18"/>
                <w:szCs w:val="18"/>
              </w:rPr>
            </w:pPr>
          </w:p>
        </w:tc>
        <w:tc>
          <w:tcPr>
            <w:tcW w:w="794"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923" w:type="dxa"/>
            <w:vAlign w:val="center"/>
          </w:tcPr>
          <w:p>
            <w:pPr>
              <w:overflowPunct w:val="0"/>
              <w:adjustRightInd w:val="0"/>
              <w:snapToGrid w:val="0"/>
              <w:spacing w:line="240" w:lineRule="auto"/>
              <w:jc w:val="center"/>
              <w:textAlignment w:val="auto"/>
              <w:rPr>
                <w:rFonts w:eastAsia="宋体"/>
                <w:sz w:val="18"/>
                <w:szCs w:val="18"/>
              </w:rPr>
            </w:pPr>
          </w:p>
        </w:tc>
        <w:tc>
          <w:tcPr>
            <w:tcW w:w="663" w:type="dxa"/>
            <w:vAlign w:val="center"/>
          </w:tcPr>
          <w:p>
            <w:pPr>
              <w:overflowPunct w:val="0"/>
              <w:adjustRightInd w:val="0"/>
              <w:snapToGrid w:val="0"/>
              <w:spacing w:line="240" w:lineRule="auto"/>
              <w:jc w:val="center"/>
              <w:textAlignment w:val="auto"/>
              <w:rPr>
                <w:rFonts w:eastAsia="宋体"/>
                <w:sz w:val="18"/>
                <w:szCs w:val="18"/>
              </w:rPr>
            </w:pPr>
          </w:p>
        </w:tc>
        <w:tc>
          <w:tcPr>
            <w:tcW w:w="794"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423"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29"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31"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481"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677" w:type="dxa"/>
            <w:vAlign w:val="center"/>
          </w:tcPr>
          <w:p>
            <w:pPr>
              <w:overflowPunct w:val="0"/>
              <w:adjustRightInd w:val="0"/>
              <w:snapToGrid w:val="0"/>
              <w:spacing w:line="240" w:lineRule="auto"/>
              <w:jc w:val="center"/>
              <w:textAlignment w:val="auto"/>
              <w:rPr>
                <w:rFonts w:eastAsia="宋体"/>
                <w:sz w:val="18"/>
                <w:szCs w:val="18"/>
              </w:rPr>
            </w:pPr>
          </w:p>
        </w:tc>
        <w:tc>
          <w:tcPr>
            <w:tcW w:w="665" w:type="dxa"/>
            <w:vAlign w:val="center"/>
          </w:tcPr>
          <w:p>
            <w:pPr>
              <w:overflowPunct w:val="0"/>
              <w:adjustRightInd w:val="0"/>
              <w:snapToGrid w:val="0"/>
              <w:spacing w:line="240" w:lineRule="auto"/>
              <w:jc w:val="center"/>
              <w:textAlignment w:val="auto"/>
              <w:rPr>
                <w:rFonts w:eastAsia="宋体"/>
                <w:sz w:val="18"/>
                <w:szCs w:val="18"/>
              </w:rPr>
            </w:pPr>
          </w:p>
        </w:tc>
        <w:tc>
          <w:tcPr>
            <w:tcW w:w="399"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31" w:type="dxa"/>
            <w:vAlign w:val="center"/>
          </w:tcPr>
          <w:p>
            <w:pPr>
              <w:overflowPunct w:val="0"/>
              <w:adjustRightInd w:val="0"/>
              <w:snapToGrid w:val="0"/>
              <w:spacing w:line="240" w:lineRule="auto"/>
              <w:jc w:val="center"/>
              <w:textAlignment w:val="auto"/>
              <w:rPr>
                <w:rFonts w:eastAsia="宋体"/>
                <w:sz w:val="18"/>
                <w:szCs w:val="18"/>
              </w:rPr>
            </w:pPr>
          </w:p>
        </w:tc>
        <w:tc>
          <w:tcPr>
            <w:tcW w:w="792"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792"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792" w:type="dxa"/>
            <w:vAlign w:val="center"/>
          </w:tcPr>
          <w:p>
            <w:pPr>
              <w:overflowPunct w:val="0"/>
              <w:adjustRightInd w:val="0"/>
              <w:snapToGrid w:val="0"/>
              <w:spacing w:line="240" w:lineRule="auto"/>
              <w:jc w:val="center"/>
              <w:textAlignment w:val="auto"/>
              <w:rPr>
                <w:rFonts w:eastAsia="宋体"/>
                <w:sz w:val="18"/>
                <w:szCs w:val="18"/>
              </w:rPr>
            </w:pPr>
          </w:p>
        </w:tc>
        <w:tc>
          <w:tcPr>
            <w:tcW w:w="1057" w:type="dxa"/>
            <w:vAlign w:val="center"/>
          </w:tcPr>
          <w:p>
            <w:pPr>
              <w:overflowPunct w:val="0"/>
              <w:adjustRightInd w:val="0"/>
              <w:snapToGrid w:val="0"/>
              <w:spacing w:line="240" w:lineRule="auto"/>
              <w:jc w:val="center"/>
              <w:textAlignment w:val="auto"/>
              <w:rPr>
                <w:rFonts w:eastAsia="宋体"/>
                <w:sz w:val="18"/>
                <w:szCs w:val="18"/>
              </w:rPr>
            </w:pPr>
          </w:p>
        </w:tc>
        <w:tc>
          <w:tcPr>
            <w:tcW w:w="663" w:type="dxa"/>
            <w:vAlign w:val="center"/>
          </w:tcPr>
          <w:p>
            <w:pPr>
              <w:overflowPunct w:val="0"/>
              <w:adjustRightInd w:val="0"/>
              <w:snapToGrid w:val="0"/>
              <w:spacing w:line="240" w:lineRule="auto"/>
              <w:jc w:val="center"/>
              <w:textAlignment w:val="auto"/>
              <w:rPr>
                <w:rFonts w:eastAsia="宋体"/>
                <w:sz w:val="18"/>
                <w:szCs w:val="18"/>
              </w:rPr>
            </w:pPr>
          </w:p>
        </w:tc>
        <w:tc>
          <w:tcPr>
            <w:tcW w:w="794"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923" w:type="dxa"/>
            <w:vAlign w:val="center"/>
          </w:tcPr>
          <w:p>
            <w:pPr>
              <w:overflowPunct w:val="0"/>
              <w:adjustRightInd w:val="0"/>
              <w:snapToGrid w:val="0"/>
              <w:spacing w:line="240" w:lineRule="auto"/>
              <w:jc w:val="center"/>
              <w:textAlignment w:val="auto"/>
              <w:rPr>
                <w:rFonts w:eastAsia="宋体"/>
                <w:sz w:val="18"/>
                <w:szCs w:val="18"/>
              </w:rPr>
            </w:pPr>
          </w:p>
        </w:tc>
        <w:tc>
          <w:tcPr>
            <w:tcW w:w="663" w:type="dxa"/>
            <w:vAlign w:val="center"/>
          </w:tcPr>
          <w:p>
            <w:pPr>
              <w:overflowPunct w:val="0"/>
              <w:adjustRightInd w:val="0"/>
              <w:snapToGrid w:val="0"/>
              <w:spacing w:line="240" w:lineRule="auto"/>
              <w:jc w:val="center"/>
              <w:textAlignment w:val="auto"/>
              <w:rPr>
                <w:rFonts w:eastAsia="宋体"/>
                <w:sz w:val="18"/>
                <w:szCs w:val="18"/>
              </w:rPr>
            </w:pPr>
          </w:p>
        </w:tc>
        <w:tc>
          <w:tcPr>
            <w:tcW w:w="794"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423"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29"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31"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481"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677" w:type="dxa"/>
            <w:vAlign w:val="center"/>
          </w:tcPr>
          <w:p>
            <w:pPr>
              <w:overflowPunct w:val="0"/>
              <w:adjustRightInd w:val="0"/>
              <w:snapToGrid w:val="0"/>
              <w:spacing w:line="240" w:lineRule="auto"/>
              <w:jc w:val="center"/>
              <w:textAlignment w:val="auto"/>
              <w:rPr>
                <w:rFonts w:eastAsia="宋体"/>
                <w:sz w:val="18"/>
                <w:szCs w:val="18"/>
              </w:rPr>
            </w:pPr>
          </w:p>
        </w:tc>
        <w:tc>
          <w:tcPr>
            <w:tcW w:w="665" w:type="dxa"/>
            <w:vAlign w:val="center"/>
          </w:tcPr>
          <w:p>
            <w:pPr>
              <w:overflowPunct w:val="0"/>
              <w:adjustRightInd w:val="0"/>
              <w:snapToGrid w:val="0"/>
              <w:spacing w:line="240" w:lineRule="auto"/>
              <w:jc w:val="center"/>
              <w:textAlignment w:val="auto"/>
              <w:rPr>
                <w:rFonts w:eastAsia="宋体"/>
                <w:sz w:val="18"/>
                <w:szCs w:val="18"/>
              </w:rPr>
            </w:pPr>
          </w:p>
        </w:tc>
        <w:tc>
          <w:tcPr>
            <w:tcW w:w="399"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31" w:type="dxa"/>
            <w:vAlign w:val="center"/>
          </w:tcPr>
          <w:p>
            <w:pPr>
              <w:overflowPunct w:val="0"/>
              <w:adjustRightInd w:val="0"/>
              <w:snapToGrid w:val="0"/>
              <w:spacing w:line="240" w:lineRule="auto"/>
              <w:jc w:val="center"/>
              <w:textAlignment w:val="auto"/>
              <w:rPr>
                <w:rFonts w:eastAsia="宋体"/>
                <w:sz w:val="18"/>
                <w:szCs w:val="18"/>
              </w:rPr>
            </w:pPr>
          </w:p>
        </w:tc>
        <w:tc>
          <w:tcPr>
            <w:tcW w:w="792"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792"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792" w:type="dxa"/>
            <w:vAlign w:val="center"/>
          </w:tcPr>
          <w:p>
            <w:pPr>
              <w:overflowPunct w:val="0"/>
              <w:adjustRightInd w:val="0"/>
              <w:snapToGrid w:val="0"/>
              <w:spacing w:line="240" w:lineRule="auto"/>
              <w:jc w:val="center"/>
              <w:textAlignment w:val="auto"/>
              <w:rPr>
                <w:rFonts w:eastAsia="宋体"/>
                <w:sz w:val="18"/>
                <w:szCs w:val="18"/>
              </w:rPr>
            </w:pPr>
          </w:p>
        </w:tc>
        <w:tc>
          <w:tcPr>
            <w:tcW w:w="1057" w:type="dxa"/>
            <w:vAlign w:val="center"/>
          </w:tcPr>
          <w:p>
            <w:pPr>
              <w:overflowPunct w:val="0"/>
              <w:adjustRightInd w:val="0"/>
              <w:snapToGrid w:val="0"/>
              <w:spacing w:line="240" w:lineRule="auto"/>
              <w:jc w:val="center"/>
              <w:textAlignment w:val="auto"/>
              <w:rPr>
                <w:rFonts w:eastAsia="宋体"/>
                <w:sz w:val="18"/>
                <w:szCs w:val="18"/>
              </w:rPr>
            </w:pPr>
          </w:p>
        </w:tc>
        <w:tc>
          <w:tcPr>
            <w:tcW w:w="663" w:type="dxa"/>
            <w:vAlign w:val="center"/>
          </w:tcPr>
          <w:p>
            <w:pPr>
              <w:overflowPunct w:val="0"/>
              <w:adjustRightInd w:val="0"/>
              <w:snapToGrid w:val="0"/>
              <w:spacing w:line="240" w:lineRule="auto"/>
              <w:jc w:val="center"/>
              <w:textAlignment w:val="auto"/>
              <w:rPr>
                <w:rFonts w:eastAsia="宋体"/>
                <w:sz w:val="18"/>
                <w:szCs w:val="18"/>
              </w:rPr>
            </w:pPr>
          </w:p>
        </w:tc>
        <w:tc>
          <w:tcPr>
            <w:tcW w:w="794"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923" w:type="dxa"/>
            <w:vAlign w:val="center"/>
          </w:tcPr>
          <w:p>
            <w:pPr>
              <w:overflowPunct w:val="0"/>
              <w:adjustRightInd w:val="0"/>
              <w:snapToGrid w:val="0"/>
              <w:spacing w:line="240" w:lineRule="auto"/>
              <w:jc w:val="center"/>
              <w:textAlignment w:val="auto"/>
              <w:rPr>
                <w:rFonts w:eastAsia="宋体"/>
                <w:sz w:val="18"/>
                <w:szCs w:val="18"/>
              </w:rPr>
            </w:pPr>
          </w:p>
        </w:tc>
        <w:tc>
          <w:tcPr>
            <w:tcW w:w="663" w:type="dxa"/>
            <w:vAlign w:val="center"/>
          </w:tcPr>
          <w:p>
            <w:pPr>
              <w:overflowPunct w:val="0"/>
              <w:adjustRightInd w:val="0"/>
              <w:snapToGrid w:val="0"/>
              <w:spacing w:line="240" w:lineRule="auto"/>
              <w:jc w:val="center"/>
              <w:textAlignment w:val="auto"/>
              <w:rPr>
                <w:rFonts w:eastAsia="宋体"/>
                <w:sz w:val="18"/>
                <w:szCs w:val="18"/>
              </w:rPr>
            </w:pPr>
          </w:p>
        </w:tc>
        <w:tc>
          <w:tcPr>
            <w:tcW w:w="794"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423"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71" w:type="dxa"/>
            <w:gridSpan w:val="5"/>
            <w:shd w:val="clear" w:color="auto" w:fill="auto"/>
            <w:vAlign w:val="center"/>
          </w:tcPr>
          <w:p>
            <w:pPr>
              <w:overflowPunct w:val="0"/>
              <w:adjustRightInd w:val="0"/>
              <w:snapToGrid w:val="0"/>
              <w:spacing w:line="240" w:lineRule="auto"/>
              <w:jc w:val="center"/>
              <w:textAlignment w:val="auto"/>
              <w:rPr>
                <w:rFonts w:eastAsia="宋体"/>
                <w:sz w:val="18"/>
                <w:szCs w:val="18"/>
              </w:rPr>
            </w:pPr>
            <w:r>
              <w:rPr>
                <w:rFonts w:hint="eastAsia" w:eastAsia="宋体"/>
                <w:sz w:val="18"/>
                <w:szCs w:val="18"/>
              </w:rPr>
              <w:t>合计</w:t>
            </w:r>
          </w:p>
        </w:tc>
        <w:tc>
          <w:tcPr>
            <w:tcW w:w="665" w:type="dxa"/>
            <w:vAlign w:val="center"/>
          </w:tcPr>
          <w:p>
            <w:pPr>
              <w:overflowPunct w:val="0"/>
              <w:adjustRightInd w:val="0"/>
              <w:snapToGrid w:val="0"/>
              <w:spacing w:line="240" w:lineRule="auto"/>
              <w:jc w:val="center"/>
              <w:textAlignment w:val="auto"/>
              <w:rPr>
                <w:rFonts w:eastAsia="宋体"/>
                <w:sz w:val="18"/>
                <w:szCs w:val="18"/>
              </w:rPr>
            </w:pPr>
          </w:p>
        </w:tc>
        <w:tc>
          <w:tcPr>
            <w:tcW w:w="399"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531" w:type="dxa"/>
            <w:vAlign w:val="center"/>
          </w:tcPr>
          <w:p>
            <w:pPr>
              <w:overflowPunct w:val="0"/>
              <w:adjustRightInd w:val="0"/>
              <w:snapToGrid w:val="0"/>
              <w:spacing w:line="240" w:lineRule="auto"/>
              <w:jc w:val="center"/>
              <w:textAlignment w:val="auto"/>
              <w:rPr>
                <w:rFonts w:eastAsia="宋体"/>
                <w:sz w:val="18"/>
                <w:szCs w:val="18"/>
              </w:rPr>
            </w:pPr>
          </w:p>
        </w:tc>
        <w:tc>
          <w:tcPr>
            <w:tcW w:w="792"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792"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792" w:type="dxa"/>
            <w:vAlign w:val="center"/>
          </w:tcPr>
          <w:p>
            <w:pPr>
              <w:overflowPunct w:val="0"/>
              <w:adjustRightInd w:val="0"/>
              <w:snapToGrid w:val="0"/>
              <w:spacing w:line="240" w:lineRule="auto"/>
              <w:jc w:val="center"/>
              <w:textAlignment w:val="auto"/>
              <w:rPr>
                <w:rFonts w:eastAsia="宋体"/>
                <w:sz w:val="18"/>
                <w:szCs w:val="18"/>
              </w:rPr>
            </w:pPr>
          </w:p>
        </w:tc>
        <w:tc>
          <w:tcPr>
            <w:tcW w:w="1057" w:type="dxa"/>
            <w:vAlign w:val="center"/>
          </w:tcPr>
          <w:p>
            <w:pPr>
              <w:overflowPunct w:val="0"/>
              <w:adjustRightInd w:val="0"/>
              <w:snapToGrid w:val="0"/>
              <w:spacing w:line="240" w:lineRule="auto"/>
              <w:jc w:val="center"/>
              <w:textAlignment w:val="auto"/>
              <w:rPr>
                <w:rFonts w:eastAsia="宋体"/>
                <w:sz w:val="18"/>
                <w:szCs w:val="18"/>
              </w:rPr>
            </w:pPr>
          </w:p>
        </w:tc>
        <w:tc>
          <w:tcPr>
            <w:tcW w:w="663" w:type="dxa"/>
            <w:vAlign w:val="center"/>
          </w:tcPr>
          <w:p>
            <w:pPr>
              <w:overflowPunct w:val="0"/>
              <w:adjustRightInd w:val="0"/>
              <w:snapToGrid w:val="0"/>
              <w:spacing w:line="240" w:lineRule="auto"/>
              <w:jc w:val="center"/>
              <w:textAlignment w:val="auto"/>
              <w:rPr>
                <w:rFonts w:eastAsia="宋体"/>
                <w:sz w:val="18"/>
                <w:szCs w:val="18"/>
              </w:rPr>
            </w:pPr>
          </w:p>
        </w:tc>
        <w:tc>
          <w:tcPr>
            <w:tcW w:w="794"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923" w:type="dxa"/>
            <w:vAlign w:val="center"/>
          </w:tcPr>
          <w:p>
            <w:pPr>
              <w:overflowPunct w:val="0"/>
              <w:adjustRightInd w:val="0"/>
              <w:snapToGrid w:val="0"/>
              <w:spacing w:line="240" w:lineRule="auto"/>
              <w:jc w:val="center"/>
              <w:textAlignment w:val="auto"/>
              <w:rPr>
                <w:rFonts w:eastAsia="宋体"/>
                <w:sz w:val="18"/>
                <w:szCs w:val="18"/>
              </w:rPr>
            </w:pPr>
          </w:p>
        </w:tc>
        <w:tc>
          <w:tcPr>
            <w:tcW w:w="663" w:type="dxa"/>
            <w:vAlign w:val="center"/>
          </w:tcPr>
          <w:p>
            <w:pPr>
              <w:overflowPunct w:val="0"/>
              <w:adjustRightInd w:val="0"/>
              <w:snapToGrid w:val="0"/>
              <w:spacing w:line="240" w:lineRule="auto"/>
              <w:jc w:val="center"/>
              <w:textAlignment w:val="auto"/>
              <w:rPr>
                <w:rFonts w:eastAsia="宋体"/>
                <w:sz w:val="18"/>
                <w:szCs w:val="18"/>
              </w:rPr>
            </w:pPr>
          </w:p>
        </w:tc>
        <w:tc>
          <w:tcPr>
            <w:tcW w:w="794"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c>
          <w:tcPr>
            <w:tcW w:w="423" w:type="dxa"/>
            <w:shd w:val="clear" w:color="auto" w:fill="auto"/>
            <w:vAlign w:val="center"/>
          </w:tcPr>
          <w:p>
            <w:pPr>
              <w:overflowPunct w:val="0"/>
              <w:adjustRightInd w:val="0"/>
              <w:snapToGrid w:val="0"/>
              <w:spacing w:line="240" w:lineRule="auto"/>
              <w:jc w:val="center"/>
              <w:textAlignment w:val="auto"/>
              <w:rPr>
                <w:rFonts w:eastAsia="宋体"/>
                <w:sz w:val="18"/>
                <w:szCs w:val="18"/>
              </w:rPr>
            </w:pPr>
          </w:p>
        </w:tc>
      </w:tr>
    </w:tbl>
    <w:p>
      <w:pPr>
        <w:overflowPunct w:val="0"/>
        <w:spacing w:line="320" w:lineRule="exact"/>
        <w:jc w:val="left"/>
        <w:textAlignment w:val="auto"/>
        <w:rPr>
          <w:rFonts w:eastAsia="宋体"/>
          <w:sz w:val="18"/>
          <w:szCs w:val="18"/>
        </w:rPr>
      </w:pPr>
    </w:p>
    <w:p>
      <w:pPr>
        <w:overflowPunct w:val="0"/>
        <w:spacing w:line="320" w:lineRule="exact"/>
        <w:jc w:val="left"/>
        <w:textAlignment w:val="auto"/>
        <w:rPr>
          <w:rFonts w:eastAsia="宋体"/>
          <w:sz w:val="18"/>
          <w:szCs w:val="18"/>
        </w:rPr>
      </w:pPr>
      <w:r>
        <w:rPr>
          <w:rFonts w:hint="eastAsia" w:eastAsia="宋体"/>
          <w:sz w:val="18"/>
          <w:szCs w:val="18"/>
        </w:rPr>
        <w:t>说明：1.项目类型：填写“普通光伏电站（集中式光伏）”、“全额上网工商业分布式光伏”或“自发自用、余电上网工商业分布式光伏”。</w:t>
      </w:r>
    </w:p>
    <w:p>
      <w:pPr>
        <w:overflowPunct w:val="0"/>
        <w:spacing w:line="320" w:lineRule="exact"/>
        <w:ind w:firstLine="540" w:firstLineChars="300"/>
        <w:jc w:val="left"/>
        <w:textAlignment w:val="auto"/>
        <w:rPr>
          <w:rFonts w:eastAsia="宋体"/>
          <w:sz w:val="18"/>
          <w:szCs w:val="18"/>
        </w:rPr>
      </w:pPr>
      <w:r>
        <w:rPr>
          <w:rFonts w:hint="eastAsia" w:eastAsia="宋体"/>
          <w:sz w:val="18"/>
          <w:szCs w:val="18"/>
        </w:rPr>
        <w:t>2.项目地点：填写项目所在行政区域，具体到市、县。</w:t>
      </w:r>
    </w:p>
    <w:p>
      <w:pPr>
        <w:overflowPunct w:val="0"/>
        <w:spacing w:line="320" w:lineRule="exact"/>
        <w:ind w:firstLine="540" w:firstLineChars="300"/>
        <w:jc w:val="left"/>
        <w:textAlignment w:val="auto"/>
        <w:rPr>
          <w:rFonts w:eastAsia="宋体"/>
          <w:sz w:val="18"/>
          <w:szCs w:val="18"/>
        </w:rPr>
      </w:pPr>
      <w:r>
        <w:rPr>
          <w:rFonts w:hint="eastAsia" w:eastAsia="宋体"/>
          <w:sz w:val="18"/>
          <w:szCs w:val="18"/>
        </w:rPr>
        <w:t>3.主要投资方：填写最高级母公司名称。</w:t>
      </w:r>
    </w:p>
    <w:p>
      <w:pPr>
        <w:overflowPunct w:val="0"/>
        <w:spacing w:line="320" w:lineRule="exact"/>
        <w:ind w:firstLine="540" w:firstLineChars="300"/>
        <w:jc w:val="left"/>
        <w:textAlignment w:val="auto"/>
        <w:rPr>
          <w:rFonts w:eastAsia="宋体"/>
          <w:sz w:val="18"/>
          <w:szCs w:val="18"/>
        </w:rPr>
      </w:pPr>
      <w:r>
        <w:rPr>
          <w:rFonts w:hint="eastAsia" w:eastAsia="宋体"/>
          <w:sz w:val="18"/>
          <w:szCs w:val="18"/>
        </w:rPr>
        <w:t>4.预期年发电小时数和发电量：填写项目全容量并网后经营期预期发电小时数和发电量。</w:t>
      </w:r>
    </w:p>
    <w:p>
      <w:pPr>
        <w:overflowPunct w:val="0"/>
        <w:spacing w:line="320" w:lineRule="exact"/>
        <w:ind w:firstLine="540" w:firstLineChars="300"/>
        <w:jc w:val="left"/>
        <w:textAlignment w:val="auto"/>
        <w:rPr>
          <w:rFonts w:eastAsia="宋体"/>
          <w:sz w:val="18"/>
          <w:szCs w:val="18"/>
        </w:rPr>
      </w:pPr>
      <w:r>
        <w:rPr>
          <w:rFonts w:hint="eastAsia" w:eastAsia="宋体"/>
          <w:sz w:val="18"/>
          <w:szCs w:val="18"/>
        </w:rPr>
        <w:t>5.计划（申报）投产时间：未建成项目填写项目预计全容量并网发电时间，精确到年月；已建成项目填写申报投产时间（作为补贴起算时点），其中普通光伏电站和工商业分布式光伏发电项目申报投产时间以电网企业出具的并网时间为准。</w:t>
      </w:r>
    </w:p>
    <w:p>
      <w:pPr>
        <w:overflowPunct w:val="0"/>
        <w:spacing w:line="320" w:lineRule="exact"/>
        <w:ind w:firstLine="540" w:firstLineChars="300"/>
        <w:jc w:val="left"/>
        <w:textAlignment w:val="auto"/>
        <w:rPr>
          <w:rFonts w:eastAsia="宋体"/>
          <w:sz w:val="18"/>
          <w:szCs w:val="18"/>
        </w:rPr>
      </w:pPr>
      <w:r>
        <w:rPr>
          <w:rFonts w:hint="eastAsia" w:eastAsia="宋体"/>
          <w:sz w:val="18"/>
          <w:szCs w:val="18"/>
        </w:rPr>
        <w:t>6.补贴竞价申报上网电价：对于未进行业主招标的，直接申报补贴竞价上网电价；对于竞争配置确定项目业主的，可按不高于竞争配置时的中标电价申报补贴竞价上网电价。</w:t>
      </w:r>
    </w:p>
    <w:p>
      <w:pPr>
        <w:overflowPunct w:val="0"/>
        <w:spacing w:line="320" w:lineRule="exact"/>
        <w:ind w:firstLine="540" w:firstLineChars="300"/>
        <w:jc w:val="left"/>
        <w:textAlignment w:val="auto"/>
        <w:rPr>
          <w:rFonts w:eastAsia="宋体"/>
          <w:sz w:val="18"/>
          <w:szCs w:val="18"/>
        </w:rPr>
      </w:pPr>
      <w:r>
        <w:rPr>
          <w:rFonts w:hint="eastAsia" w:eastAsia="宋体"/>
          <w:sz w:val="18"/>
          <w:szCs w:val="18"/>
        </w:rPr>
        <w:t>7.落实接网消纳的支持性文件：按照电网企业出具接网消纳函件填写，并附文号。工商业分布式项目可仅提供所在地市或省份的电网企业针对多个分布式项目（或新增分布式项目装机总量）统一出具的接网消纳文件，并附文号。</w:t>
      </w:r>
    </w:p>
    <w:p>
      <w:pPr>
        <w:overflowPunct w:val="0"/>
        <w:spacing w:line="320" w:lineRule="exact"/>
        <w:ind w:firstLine="540" w:firstLineChars="300"/>
        <w:jc w:val="left"/>
        <w:textAlignment w:val="auto"/>
        <w:rPr>
          <w:rFonts w:eastAsia="宋体"/>
          <w:sz w:val="18"/>
          <w:szCs w:val="18"/>
        </w:rPr>
      </w:pPr>
      <w:r>
        <w:rPr>
          <w:rFonts w:hint="eastAsia" w:eastAsia="宋体"/>
          <w:sz w:val="18"/>
          <w:szCs w:val="18"/>
        </w:rPr>
        <w:t>8.通知印发时已于本年度建成并网的新建项目须提供电网企业出具的并网时间证明材料。</w:t>
      </w:r>
    </w:p>
    <w:sectPr>
      <w:footerReference r:id="rId7" w:type="default"/>
      <w:footerReference r:id="rId8" w:type="even"/>
      <w:pgSz w:w="16838" w:h="11906" w:orient="landscape"/>
      <w:pgMar w:top="1616" w:right="1985" w:bottom="1616" w:left="1814" w:header="851" w:footer="1474" w:gutter="0"/>
      <w:pgNumType w:fmt="decimal"/>
      <w:cols w:space="425" w:num="1"/>
      <w:docGrid w:type="lines" w:linePitch="5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10" w:usb3="00000000" w:csb0="00040000" w:csb1="00000000"/>
  </w:font>
  <w:font w:name="楷体_GB2312">
    <w:altName w:val="楷体"/>
    <w:panose1 w:val="02010609030101010101"/>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141"/>
      <w:jc w:val="right"/>
      <w:rPr>
        <w:rFonts w:ascii="仿宋_GB2312" w:hAnsi="宋体" w:eastAsia="仿宋_GB2312"/>
        <w:caps/>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sz w:val="18"/>
                              <w:lang w:val="en-US"/>
                            </w:rPr>
                          </w:pPr>
                          <w:r>
                            <w:rPr>
                              <w:sz w:val="18"/>
                              <w:lang w:val="en-US"/>
                            </w:rPr>
                            <w:fldChar w:fldCharType="begin"/>
                          </w:r>
                          <w:r>
                            <w:rPr>
                              <w:sz w:val="18"/>
                              <w:lang w:val="en-US"/>
                            </w:rPr>
                            <w:instrText xml:space="preserve"> PAGE  \* MERGEFORMAT </w:instrText>
                          </w:r>
                          <w:r>
                            <w:rPr>
                              <w:sz w:val="18"/>
                              <w:lang w:val="en-US"/>
                            </w:rPr>
                            <w:fldChar w:fldCharType="separate"/>
                          </w:r>
                          <w:r>
                            <w:rPr>
                              <w:sz w:val="18"/>
                            </w:rPr>
                            <w:t>1</w:t>
                          </w:r>
                          <w:r>
                            <w:rPr>
                              <w:sz w:val="18"/>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fill on="f" focussize="0,0"/>
              <v:stroke on="f" weight="0.5pt"/>
              <v:imagedata o:title=""/>
              <o:lock v:ext="edit" aspectratio="f"/>
              <v:textbox inset="0mm,0mm,0mm,0mm" style="mso-fit-shape-to-text:t;">
                <w:txbxContent>
                  <w:p>
                    <w:pPr>
                      <w:snapToGrid w:val="0"/>
                      <w:rPr>
                        <w:sz w:val="18"/>
                        <w:lang w:val="en-US"/>
                      </w:rPr>
                    </w:pPr>
                    <w:r>
                      <w:rPr>
                        <w:sz w:val="18"/>
                        <w:lang w:val="en-US"/>
                      </w:rPr>
                      <w:fldChar w:fldCharType="begin"/>
                    </w:r>
                    <w:r>
                      <w:rPr>
                        <w:sz w:val="18"/>
                        <w:lang w:val="en-US"/>
                      </w:rPr>
                      <w:instrText xml:space="preserve"> PAGE  \* MERGEFORMAT </w:instrText>
                    </w:r>
                    <w:r>
                      <w:rPr>
                        <w:sz w:val="18"/>
                        <w:lang w:val="en-US"/>
                      </w:rPr>
                      <w:fldChar w:fldCharType="separate"/>
                    </w:r>
                    <w:r>
                      <w:rPr>
                        <w:sz w:val="18"/>
                      </w:rPr>
                      <w:t>1</w:t>
                    </w:r>
                    <w:r>
                      <w:rPr>
                        <w:sz w:val="18"/>
                        <w:lang w:val="en-US"/>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141" w:firstLine="146" w:firstLineChars="50"/>
      <w:rPr>
        <w:rFonts w:ascii="Times New Roman" w:hAnsi="Times New Roman" w:eastAsia="仿宋_GB2312"/>
        <w:caps/>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sz w:val="18"/>
                              <w:lang w:val="en-US"/>
                            </w:rPr>
                          </w:pPr>
                          <w:r>
                            <w:rPr>
                              <w:sz w:val="18"/>
                              <w:lang w:val="en-US"/>
                            </w:rPr>
                            <w:fldChar w:fldCharType="begin"/>
                          </w:r>
                          <w:r>
                            <w:rPr>
                              <w:sz w:val="18"/>
                              <w:lang w:val="en-US"/>
                            </w:rPr>
                            <w:instrText xml:space="preserve"> PAGE  \* MERGEFORMAT </w:instrText>
                          </w:r>
                          <w:r>
                            <w:rPr>
                              <w:sz w:val="18"/>
                              <w:lang w:val="en-US"/>
                            </w:rPr>
                            <w:fldChar w:fldCharType="separate"/>
                          </w:r>
                          <w:r>
                            <w:rPr>
                              <w:sz w:val="18"/>
                            </w:rPr>
                            <w:t>2</w:t>
                          </w:r>
                          <w:r>
                            <w:rPr>
                              <w:sz w:val="18"/>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dF6DCAgAA1gUAAA4AAABkcnMvZTJvRG9jLnhtbK1UzY7TMBC+I/EO&#10;lu/ZJN20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enw8hfOGjAORfOFrIAH3up68yHcTS+Sq/SJEgGo6sgifI8mBXzJBgV8dkw&#10;P83n8zz+6PzFyaRuypIJF6+fkjj5sy7s57Xr72FOjORN6dy5lIxeLedcow2BKS385xCG5B+YhY/T&#10;8Gqo6klJ8SCJLgfjoBilZ0FSJMNgfBalQRSPL8ej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kR0XoMICAADWBQAADgAAAAAA&#10;AAABACAAAAAfAQAAZHJzL2Uyb0RvYy54bWxQSwUGAAAAAAYABgBZAQAAUwYAAAAA&#10;">
              <v:fill on="f" focussize="0,0"/>
              <v:stroke on="f" weight="0.5pt"/>
              <v:imagedata o:title=""/>
              <o:lock v:ext="edit" aspectratio="f"/>
              <v:textbox inset="0mm,0mm,0mm,0mm" style="mso-fit-shape-to-text:t;">
                <w:txbxContent>
                  <w:p>
                    <w:pPr>
                      <w:snapToGrid w:val="0"/>
                      <w:rPr>
                        <w:sz w:val="18"/>
                        <w:lang w:val="en-US"/>
                      </w:rPr>
                    </w:pPr>
                    <w:r>
                      <w:rPr>
                        <w:sz w:val="18"/>
                        <w:lang w:val="en-US"/>
                      </w:rPr>
                      <w:fldChar w:fldCharType="begin"/>
                    </w:r>
                    <w:r>
                      <w:rPr>
                        <w:sz w:val="18"/>
                        <w:lang w:val="en-US"/>
                      </w:rPr>
                      <w:instrText xml:space="preserve"> PAGE  \* MERGEFORMAT </w:instrText>
                    </w:r>
                    <w:r>
                      <w:rPr>
                        <w:sz w:val="18"/>
                        <w:lang w:val="en-US"/>
                      </w:rPr>
                      <w:fldChar w:fldCharType="separate"/>
                    </w:r>
                    <w:r>
                      <w:rPr>
                        <w:sz w:val="18"/>
                      </w:rPr>
                      <w:t>2</w:t>
                    </w:r>
                    <w:r>
                      <w:rPr>
                        <w:sz w:val="18"/>
                        <w:lang w:val="en-US"/>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141"/>
      <w:jc w:val="center"/>
      <w:rPr>
        <w:rFonts w:ascii="仿宋_GB2312" w:hAnsi="宋体" w:eastAsia="仿宋_GB2312"/>
        <w:caps/>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sz w:val="18"/>
                              <w:lang w:val="en-US"/>
                            </w:rPr>
                          </w:pPr>
                          <w:r>
                            <w:rPr>
                              <w:sz w:val="18"/>
                              <w:lang w:val="en-US"/>
                            </w:rPr>
                            <w:fldChar w:fldCharType="begin"/>
                          </w:r>
                          <w:r>
                            <w:rPr>
                              <w:sz w:val="18"/>
                              <w:lang w:val="en-US"/>
                            </w:rPr>
                            <w:instrText xml:space="preserve"> PAGE  \* MERGEFORMAT </w:instrText>
                          </w:r>
                          <w:r>
                            <w:rPr>
                              <w:sz w:val="18"/>
                              <w:lang w:val="en-US"/>
                            </w:rPr>
                            <w:fldChar w:fldCharType="separate"/>
                          </w:r>
                          <w:r>
                            <w:rPr>
                              <w:sz w:val="18"/>
                            </w:rPr>
                            <w:t>15</w:t>
                          </w:r>
                          <w:r>
                            <w:rPr>
                              <w:sz w:val="18"/>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jRzrBAgAA1g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GY0c6wQIAANYFAAAOAAAAAAAA&#10;AAEAIAAAAB8BAABkcnMvZTJvRG9jLnhtbFBLBQYAAAAABgAGAFkBAABSBgAAAAA=&#10;">
              <v:fill on="f" focussize="0,0"/>
              <v:stroke on="f" weight="0.5pt"/>
              <v:imagedata o:title=""/>
              <o:lock v:ext="edit" aspectratio="f"/>
              <v:textbox inset="0mm,0mm,0mm,0mm" style="mso-fit-shape-to-text:t;">
                <w:txbxContent>
                  <w:p>
                    <w:pPr>
                      <w:snapToGrid w:val="0"/>
                      <w:rPr>
                        <w:sz w:val="18"/>
                        <w:lang w:val="en-US"/>
                      </w:rPr>
                    </w:pPr>
                    <w:r>
                      <w:rPr>
                        <w:sz w:val="18"/>
                        <w:lang w:val="en-US"/>
                      </w:rPr>
                      <w:fldChar w:fldCharType="begin"/>
                    </w:r>
                    <w:r>
                      <w:rPr>
                        <w:sz w:val="18"/>
                        <w:lang w:val="en-US"/>
                      </w:rPr>
                      <w:instrText xml:space="preserve"> PAGE  \* MERGEFORMAT </w:instrText>
                    </w:r>
                    <w:r>
                      <w:rPr>
                        <w:sz w:val="18"/>
                        <w:lang w:val="en-US"/>
                      </w:rPr>
                      <w:fldChar w:fldCharType="separate"/>
                    </w:r>
                    <w:r>
                      <w:rPr>
                        <w:sz w:val="18"/>
                      </w:rPr>
                      <w:t>15</w:t>
                    </w:r>
                    <w:r>
                      <w:rPr>
                        <w:sz w:val="18"/>
                        <w:lang w:val="en-US"/>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141" w:firstLine="146" w:firstLineChars="50"/>
      <w:jc w:val="center"/>
      <w:rPr>
        <w:rFonts w:ascii="Times New Roman" w:hAnsi="Times New Roman" w:eastAsia="仿宋_GB2312"/>
        <w:caps/>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sz w:val="18"/>
                              <w:lang w:val="en-US"/>
                            </w:rPr>
                          </w:pPr>
                          <w:r>
                            <w:rPr>
                              <w:sz w:val="18"/>
                              <w:lang w:val="en-US"/>
                            </w:rPr>
                            <w:fldChar w:fldCharType="begin"/>
                          </w:r>
                          <w:r>
                            <w:rPr>
                              <w:sz w:val="18"/>
                              <w:lang w:val="en-US"/>
                            </w:rPr>
                            <w:instrText xml:space="preserve"> PAGE  \* MERGEFORMAT </w:instrText>
                          </w:r>
                          <w:r>
                            <w:rPr>
                              <w:sz w:val="18"/>
                              <w:lang w:val="en-US"/>
                            </w:rPr>
                            <w:fldChar w:fldCharType="separate"/>
                          </w:r>
                          <w:r>
                            <w:rPr>
                              <w:sz w:val="18"/>
                            </w:rPr>
                            <w:t>1</w:t>
                          </w:r>
                          <w:r>
                            <w:rPr>
                              <w:sz w:val="18"/>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Jd0zCAgAA1g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i0l3TMICAADWBQAADgAAAAAA&#10;AAABACAAAAAfAQAAZHJzL2Uyb0RvYy54bWxQSwUGAAAAAAYABgBZAQAAUwYAAAAA&#10;">
              <v:fill on="f" focussize="0,0"/>
              <v:stroke on="f" weight="0.5pt"/>
              <v:imagedata o:title=""/>
              <o:lock v:ext="edit" aspectratio="f"/>
              <v:textbox inset="0mm,0mm,0mm,0mm" style="mso-fit-shape-to-text:t;">
                <w:txbxContent>
                  <w:p>
                    <w:pPr>
                      <w:snapToGrid w:val="0"/>
                      <w:rPr>
                        <w:sz w:val="18"/>
                        <w:lang w:val="en-US"/>
                      </w:rPr>
                    </w:pPr>
                    <w:r>
                      <w:rPr>
                        <w:sz w:val="18"/>
                        <w:lang w:val="en-US"/>
                      </w:rPr>
                      <w:fldChar w:fldCharType="begin"/>
                    </w:r>
                    <w:r>
                      <w:rPr>
                        <w:sz w:val="18"/>
                        <w:lang w:val="en-US"/>
                      </w:rPr>
                      <w:instrText xml:space="preserve"> PAGE  \* MERGEFORMAT </w:instrText>
                    </w:r>
                    <w:r>
                      <w:rPr>
                        <w:sz w:val="18"/>
                        <w:lang w:val="en-US"/>
                      </w:rPr>
                      <w:fldChar w:fldCharType="separate"/>
                    </w:r>
                    <w:r>
                      <w:rPr>
                        <w:sz w:val="18"/>
                      </w:rPr>
                      <w:t>1</w:t>
                    </w:r>
                    <w:r>
                      <w:rPr>
                        <w:sz w:val="18"/>
                        <w:lang w:val="en-US"/>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evenAndOddHeaders w:val="1"/>
  <w:drawingGridHorizontalSpacing w:val="150"/>
  <w:drawingGridVerticalSpacing w:val="294"/>
  <w:displayHorizontalDrawingGridEvery w:val="0"/>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0E"/>
    <w:rsid w:val="00013621"/>
    <w:rsid w:val="00020571"/>
    <w:rsid w:val="00024792"/>
    <w:rsid w:val="00024AFC"/>
    <w:rsid w:val="00025BBA"/>
    <w:rsid w:val="00030BFD"/>
    <w:rsid w:val="00052371"/>
    <w:rsid w:val="00052C3B"/>
    <w:rsid w:val="0005593B"/>
    <w:rsid w:val="000615ED"/>
    <w:rsid w:val="0006179A"/>
    <w:rsid w:val="0006354B"/>
    <w:rsid w:val="0006790E"/>
    <w:rsid w:val="00073FF0"/>
    <w:rsid w:val="0007471F"/>
    <w:rsid w:val="000751D4"/>
    <w:rsid w:val="00094675"/>
    <w:rsid w:val="000A3547"/>
    <w:rsid w:val="000A361D"/>
    <w:rsid w:val="000A680E"/>
    <w:rsid w:val="000B4AE6"/>
    <w:rsid w:val="000C5E37"/>
    <w:rsid w:val="000D74D6"/>
    <w:rsid w:val="000D7E2E"/>
    <w:rsid w:val="000E0B38"/>
    <w:rsid w:val="000F45B5"/>
    <w:rsid w:val="000F716E"/>
    <w:rsid w:val="0011215E"/>
    <w:rsid w:val="00113DCB"/>
    <w:rsid w:val="00121725"/>
    <w:rsid w:val="0013156A"/>
    <w:rsid w:val="00131CA8"/>
    <w:rsid w:val="001451DE"/>
    <w:rsid w:val="00154202"/>
    <w:rsid w:val="001552B8"/>
    <w:rsid w:val="001633A6"/>
    <w:rsid w:val="00164153"/>
    <w:rsid w:val="0018791D"/>
    <w:rsid w:val="001C73CD"/>
    <w:rsid w:val="001E4FCD"/>
    <w:rsid w:val="001E5835"/>
    <w:rsid w:val="00202C03"/>
    <w:rsid w:val="00216A1C"/>
    <w:rsid w:val="00261BD6"/>
    <w:rsid w:val="002631D2"/>
    <w:rsid w:val="00272134"/>
    <w:rsid w:val="00274CCC"/>
    <w:rsid w:val="00280636"/>
    <w:rsid w:val="002821FD"/>
    <w:rsid w:val="0028420D"/>
    <w:rsid w:val="00291FDF"/>
    <w:rsid w:val="002A6ECB"/>
    <w:rsid w:val="002B76A8"/>
    <w:rsid w:val="002B7BBA"/>
    <w:rsid w:val="002C760B"/>
    <w:rsid w:val="002F58AD"/>
    <w:rsid w:val="00301315"/>
    <w:rsid w:val="00314136"/>
    <w:rsid w:val="00315A0B"/>
    <w:rsid w:val="00354360"/>
    <w:rsid w:val="00355BCC"/>
    <w:rsid w:val="00357D2A"/>
    <w:rsid w:val="0037723D"/>
    <w:rsid w:val="00380DBC"/>
    <w:rsid w:val="00384B71"/>
    <w:rsid w:val="00390A6D"/>
    <w:rsid w:val="0039425D"/>
    <w:rsid w:val="00394CD5"/>
    <w:rsid w:val="003976BE"/>
    <w:rsid w:val="003A1A8F"/>
    <w:rsid w:val="003D7302"/>
    <w:rsid w:val="003D7B46"/>
    <w:rsid w:val="00400F9F"/>
    <w:rsid w:val="00410128"/>
    <w:rsid w:val="0041030C"/>
    <w:rsid w:val="004104BD"/>
    <w:rsid w:val="004113EE"/>
    <w:rsid w:val="0042691D"/>
    <w:rsid w:val="0043531C"/>
    <w:rsid w:val="00456D57"/>
    <w:rsid w:val="004760EF"/>
    <w:rsid w:val="00497D70"/>
    <w:rsid w:val="004A693D"/>
    <w:rsid w:val="004C6AEA"/>
    <w:rsid w:val="004D0056"/>
    <w:rsid w:val="004D11F3"/>
    <w:rsid w:val="004D6D93"/>
    <w:rsid w:val="00531704"/>
    <w:rsid w:val="00541A72"/>
    <w:rsid w:val="00550116"/>
    <w:rsid w:val="00564D80"/>
    <w:rsid w:val="00572992"/>
    <w:rsid w:val="00577B6E"/>
    <w:rsid w:val="00596190"/>
    <w:rsid w:val="005B45C2"/>
    <w:rsid w:val="005B6DE1"/>
    <w:rsid w:val="005E76D4"/>
    <w:rsid w:val="005F3652"/>
    <w:rsid w:val="005F7B86"/>
    <w:rsid w:val="00622093"/>
    <w:rsid w:val="006302F9"/>
    <w:rsid w:val="00640F6F"/>
    <w:rsid w:val="00642FAE"/>
    <w:rsid w:val="0064642D"/>
    <w:rsid w:val="00687D7B"/>
    <w:rsid w:val="00701799"/>
    <w:rsid w:val="0070542F"/>
    <w:rsid w:val="00706583"/>
    <w:rsid w:val="00716F3B"/>
    <w:rsid w:val="00720E4B"/>
    <w:rsid w:val="00734961"/>
    <w:rsid w:val="00736A2E"/>
    <w:rsid w:val="00744751"/>
    <w:rsid w:val="00757E4E"/>
    <w:rsid w:val="0077623C"/>
    <w:rsid w:val="00780619"/>
    <w:rsid w:val="00781AB2"/>
    <w:rsid w:val="007A511E"/>
    <w:rsid w:val="007A5C01"/>
    <w:rsid w:val="007B4771"/>
    <w:rsid w:val="007C3A10"/>
    <w:rsid w:val="007C7B8D"/>
    <w:rsid w:val="007D59CE"/>
    <w:rsid w:val="007D68E4"/>
    <w:rsid w:val="007E4CAA"/>
    <w:rsid w:val="007F6613"/>
    <w:rsid w:val="008115F1"/>
    <w:rsid w:val="008127CA"/>
    <w:rsid w:val="0081296E"/>
    <w:rsid w:val="00816AE3"/>
    <w:rsid w:val="00845385"/>
    <w:rsid w:val="00852433"/>
    <w:rsid w:val="00854889"/>
    <w:rsid w:val="00855287"/>
    <w:rsid w:val="00866907"/>
    <w:rsid w:val="00870872"/>
    <w:rsid w:val="00873FA1"/>
    <w:rsid w:val="00874A51"/>
    <w:rsid w:val="00876A3C"/>
    <w:rsid w:val="00887A2B"/>
    <w:rsid w:val="00887AB6"/>
    <w:rsid w:val="008A4AAE"/>
    <w:rsid w:val="008A5105"/>
    <w:rsid w:val="008C7AE3"/>
    <w:rsid w:val="008E5763"/>
    <w:rsid w:val="008E72F1"/>
    <w:rsid w:val="008F01C2"/>
    <w:rsid w:val="009007D4"/>
    <w:rsid w:val="0091645A"/>
    <w:rsid w:val="0094173F"/>
    <w:rsid w:val="00945B2F"/>
    <w:rsid w:val="00966AFC"/>
    <w:rsid w:val="00970C7B"/>
    <w:rsid w:val="00971DF7"/>
    <w:rsid w:val="00983FCF"/>
    <w:rsid w:val="009920FB"/>
    <w:rsid w:val="009B5FA6"/>
    <w:rsid w:val="009B6C15"/>
    <w:rsid w:val="009D701B"/>
    <w:rsid w:val="009E1109"/>
    <w:rsid w:val="009E21F0"/>
    <w:rsid w:val="009E3385"/>
    <w:rsid w:val="009F5930"/>
    <w:rsid w:val="00A03545"/>
    <w:rsid w:val="00A07C9F"/>
    <w:rsid w:val="00A1288F"/>
    <w:rsid w:val="00A30318"/>
    <w:rsid w:val="00A36722"/>
    <w:rsid w:val="00A420F1"/>
    <w:rsid w:val="00A55D1F"/>
    <w:rsid w:val="00A60F4B"/>
    <w:rsid w:val="00A824E3"/>
    <w:rsid w:val="00AA7C56"/>
    <w:rsid w:val="00AB4B46"/>
    <w:rsid w:val="00AB68FC"/>
    <w:rsid w:val="00AD61A3"/>
    <w:rsid w:val="00AD7B0E"/>
    <w:rsid w:val="00AF100E"/>
    <w:rsid w:val="00AF6B7B"/>
    <w:rsid w:val="00B10A34"/>
    <w:rsid w:val="00B2357C"/>
    <w:rsid w:val="00B3446D"/>
    <w:rsid w:val="00B450DF"/>
    <w:rsid w:val="00B56254"/>
    <w:rsid w:val="00B607F0"/>
    <w:rsid w:val="00B660B2"/>
    <w:rsid w:val="00B75C53"/>
    <w:rsid w:val="00B955B5"/>
    <w:rsid w:val="00BA6C63"/>
    <w:rsid w:val="00BC1CD8"/>
    <w:rsid w:val="00BD156F"/>
    <w:rsid w:val="00C00931"/>
    <w:rsid w:val="00C03862"/>
    <w:rsid w:val="00C16A5C"/>
    <w:rsid w:val="00C23F79"/>
    <w:rsid w:val="00C2672F"/>
    <w:rsid w:val="00C4108C"/>
    <w:rsid w:val="00C41472"/>
    <w:rsid w:val="00C45507"/>
    <w:rsid w:val="00C915BA"/>
    <w:rsid w:val="00C92663"/>
    <w:rsid w:val="00CA38DE"/>
    <w:rsid w:val="00CA7995"/>
    <w:rsid w:val="00CB010E"/>
    <w:rsid w:val="00CB041A"/>
    <w:rsid w:val="00CB15B2"/>
    <w:rsid w:val="00CB7F29"/>
    <w:rsid w:val="00CC208C"/>
    <w:rsid w:val="00CD50B1"/>
    <w:rsid w:val="00CE14A1"/>
    <w:rsid w:val="00D01BC6"/>
    <w:rsid w:val="00D03E9B"/>
    <w:rsid w:val="00D16326"/>
    <w:rsid w:val="00D2237E"/>
    <w:rsid w:val="00D50B3D"/>
    <w:rsid w:val="00D51609"/>
    <w:rsid w:val="00D67466"/>
    <w:rsid w:val="00D72D8B"/>
    <w:rsid w:val="00D93581"/>
    <w:rsid w:val="00D9674A"/>
    <w:rsid w:val="00DC506C"/>
    <w:rsid w:val="00DF0B48"/>
    <w:rsid w:val="00E1137D"/>
    <w:rsid w:val="00E1589A"/>
    <w:rsid w:val="00E16FFA"/>
    <w:rsid w:val="00E43423"/>
    <w:rsid w:val="00E47A2A"/>
    <w:rsid w:val="00E53E77"/>
    <w:rsid w:val="00E82284"/>
    <w:rsid w:val="00E9423F"/>
    <w:rsid w:val="00EA459D"/>
    <w:rsid w:val="00EA7F99"/>
    <w:rsid w:val="00EB1108"/>
    <w:rsid w:val="00F3273D"/>
    <w:rsid w:val="00F32F62"/>
    <w:rsid w:val="00F45F93"/>
    <w:rsid w:val="00F46CC5"/>
    <w:rsid w:val="00F53DFD"/>
    <w:rsid w:val="00F6247F"/>
    <w:rsid w:val="00F64C98"/>
    <w:rsid w:val="00F743AE"/>
    <w:rsid w:val="00F746F2"/>
    <w:rsid w:val="00F80746"/>
    <w:rsid w:val="00F83107"/>
    <w:rsid w:val="00FA60EB"/>
    <w:rsid w:val="00FC25BD"/>
    <w:rsid w:val="00FC49D6"/>
    <w:rsid w:val="00FC5EA1"/>
    <w:rsid w:val="00FE22AB"/>
    <w:rsid w:val="00FF5405"/>
    <w:rsid w:val="0C937771"/>
    <w:rsid w:val="422B3E6D"/>
    <w:rsid w:val="426C6365"/>
    <w:rsid w:val="4C96336C"/>
    <w:rsid w:val="737354B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exact"/>
      <w:jc w:val="both"/>
      <w:textAlignment w:val="center"/>
    </w:pPr>
    <w:rPr>
      <w:rFonts w:ascii="Times New Roman" w:hAnsi="Times New Roman" w:eastAsia="方正仿宋_GBK" w:cs="Times New Roman"/>
      <w:kern w:val="2"/>
      <w:sz w:val="30"/>
      <w:szCs w:val="22"/>
      <w:lang w:val="en-US" w:eastAsia="zh-CN" w:bidi="ar-SA"/>
    </w:rPr>
  </w:style>
  <w:style w:type="paragraph" w:styleId="2">
    <w:name w:val="heading 1"/>
    <w:basedOn w:val="1"/>
    <w:next w:val="1"/>
    <w:link w:val="15"/>
    <w:qFormat/>
    <w:uiPriority w:val="9"/>
    <w:pPr>
      <w:keepLines/>
      <w:ind w:firstLine="600" w:firstLineChars="200"/>
      <w:outlineLvl w:val="0"/>
    </w:pPr>
    <w:rPr>
      <w:rFonts w:ascii="Calibri" w:hAnsi="Calibri" w:eastAsia="方正黑体_GBK"/>
      <w:bCs/>
      <w:kern w:val="44"/>
      <w:szCs w:val="44"/>
    </w:rPr>
  </w:style>
  <w:style w:type="paragraph" w:styleId="3">
    <w:name w:val="heading 2"/>
    <w:basedOn w:val="1"/>
    <w:next w:val="1"/>
    <w:link w:val="16"/>
    <w:unhideWhenUsed/>
    <w:qFormat/>
    <w:uiPriority w:val="9"/>
    <w:pPr>
      <w:keepNext/>
      <w:keepLines/>
      <w:ind w:firstLine="600" w:firstLineChars="200"/>
      <w:outlineLvl w:val="1"/>
    </w:pPr>
    <w:rPr>
      <w:rFonts w:ascii="Cambria" w:hAnsi="Cambria" w:eastAsia="方正楷体_GBK"/>
      <w:bCs/>
      <w:szCs w:val="32"/>
    </w:rPr>
  </w:style>
  <w:style w:type="paragraph" w:styleId="4">
    <w:name w:val="heading 3"/>
    <w:basedOn w:val="1"/>
    <w:next w:val="1"/>
    <w:link w:val="17"/>
    <w:unhideWhenUsed/>
    <w:qFormat/>
    <w:uiPriority w:val="9"/>
    <w:pPr>
      <w:keepNext/>
      <w:keepLines/>
      <w:outlineLvl w:val="2"/>
    </w:pPr>
    <w:rPr>
      <w:rFonts w:ascii="Calibri" w:hAnsi="Calibri" w:eastAsia="方正楷体_GBK"/>
      <w:bCs/>
      <w:szCs w:val="32"/>
    </w:rPr>
  </w:style>
  <w:style w:type="character" w:default="1" w:styleId="11">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5">
    <w:name w:val="Document Map"/>
    <w:basedOn w:val="1"/>
    <w:link w:val="19"/>
    <w:unhideWhenUsed/>
    <w:qFormat/>
    <w:uiPriority w:val="99"/>
    <w:rPr>
      <w:rFonts w:ascii="宋体" w:eastAsia="宋体"/>
      <w:sz w:val="18"/>
      <w:szCs w:val="18"/>
    </w:rPr>
  </w:style>
  <w:style w:type="paragraph" w:styleId="6">
    <w:name w:val="Date"/>
    <w:basedOn w:val="1"/>
    <w:next w:val="1"/>
    <w:link w:val="18"/>
    <w:unhideWhenUsed/>
    <w:uiPriority w:val="99"/>
    <w:pPr>
      <w:ind w:left="100" w:leftChars="2500"/>
    </w:pPr>
  </w:style>
  <w:style w:type="paragraph" w:styleId="7">
    <w:name w:val="Balloon Text"/>
    <w:basedOn w:val="1"/>
    <w:link w:val="24"/>
    <w:unhideWhenUsed/>
    <w:qFormat/>
    <w:uiPriority w:val="99"/>
    <w:pPr>
      <w:spacing w:line="240" w:lineRule="auto"/>
    </w:pPr>
    <w:rPr>
      <w:sz w:val="18"/>
      <w:szCs w:val="18"/>
    </w:rPr>
  </w:style>
  <w:style w:type="paragraph" w:styleId="8">
    <w:name w:val="footer"/>
    <w:basedOn w:val="1"/>
    <w:link w:val="14"/>
    <w:unhideWhenUsed/>
    <w:uiPriority w:val="99"/>
    <w:pPr>
      <w:tabs>
        <w:tab w:val="center" w:pos="4153"/>
        <w:tab w:val="right" w:pos="8306"/>
      </w:tabs>
      <w:snapToGrid w:val="0"/>
      <w:spacing w:line="240" w:lineRule="atLeast"/>
      <w:jc w:val="left"/>
    </w:pPr>
    <w:rPr>
      <w:rFonts w:ascii="Calibri" w:hAnsi="Calibri"/>
      <w:spacing w:val="6"/>
      <w:kern w:val="0"/>
      <w:sz w:val="18"/>
      <w:szCs w:val="18"/>
    </w:rPr>
  </w:style>
  <w:style w:type="paragraph" w:styleId="9">
    <w:name w:val="header"/>
    <w:basedOn w:val="1"/>
    <w:link w:val="13"/>
    <w:unhideWhenUsed/>
    <w:uiPriority w:val="99"/>
    <w:pPr>
      <w:pBdr>
        <w:bottom w:val="single" w:color="auto" w:sz="6" w:space="1"/>
      </w:pBdr>
      <w:tabs>
        <w:tab w:val="center" w:pos="4153"/>
        <w:tab w:val="right" w:pos="8306"/>
      </w:tabs>
      <w:snapToGrid w:val="0"/>
      <w:spacing w:line="240" w:lineRule="atLeast"/>
      <w:jc w:val="center"/>
    </w:pPr>
    <w:rPr>
      <w:rFonts w:ascii="Calibri" w:hAnsi="Calibri"/>
      <w:spacing w:val="6"/>
      <w:kern w:val="0"/>
      <w:sz w:val="18"/>
      <w:szCs w:val="18"/>
    </w:rPr>
  </w:style>
  <w:style w:type="paragraph" w:styleId="10">
    <w:name w:val="Title"/>
    <w:basedOn w:val="1"/>
    <w:link w:val="20"/>
    <w:qFormat/>
    <w:uiPriority w:val="10"/>
    <w:pPr>
      <w:jc w:val="center"/>
    </w:pPr>
    <w:rPr>
      <w:rFonts w:ascii="方正小标宋_GBK" w:eastAsia="方正小标宋_GBK"/>
      <w:sz w:val="40"/>
      <w:szCs w:val="40"/>
    </w:rPr>
  </w:style>
  <w:style w:type="character" w:customStyle="1" w:styleId="13">
    <w:name w:val="页眉 Char"/>
    <w:link w:val="9"/>
    <w:uiPriority w:val="99"/>
    <w:rPr>
      <w:rFonts w:eastAsia="方正仿宋_GBK"/>
      <w:spacing w:val="6"/>
      <w:sz w:val="18"/>
      <w:szCs w:val="18"/>
    </w:rPr>
  </w:style>
  <w:style w:type="character" w:customStyle="1" w:styleId="14">
    <w:name w:val="页脚 Char"/>
    <w:link w:val="8"/>
    <w:uiPriority w:val="99"/>
    <w:rPr>
      <w:rFonts w:eastAsia="方正仿宋_GBK"/>
      <w:spacing w:val="6"/>
      <w:sz w:val="18"/>
      <w:szCs w:val="18"/>
    </w:rPr>
  </w:style>
  <w:style w:type="character" w:customStyle="1" w:styleId="15">
    <w:name w:val="标题 1 Char"/>
    <w:link w:val="2"/>
    <w:uiPriority w:val="9"/>
    <w:rPr>
      <w:rFonts w:eastAsia="方正黑体_GBK"/>
      <w:bCs/>
      <w:kern w:val="44"/>
      <w:sz w:val="30"/>
      <w:szCs w:val="44"/>
    </w:rPr>
  </w:style>
  <w:style w:type="character" w:customStyle="1" w:styleId="16">
    <w:name w:val="标题 2 Char"/>
    <w:link w:val="3"/>
    <w:uiPriority w:val="9"/>
    <w:rPr>
      <w:rFonts w:ascii="Cambria" w:hAnsi="Cambria" w:eastAsia="方正楷体_GBK"/>
      <w:bCs/>
      <w:kern w:val="2"/>
      <w:sz w:val="30"/>
      <w:szCs w:val="32"/>
    </w:rPr>
  </w:style>
  <w:style w:type="character" w:customStyle="1" w:styleId="17">
    <w:name w:val="标题 3 Char"/>
    <w:link w:val="4"/>
    <w:qFormat/>
    <w:uiPriority w:val="9"/>
    <w:rPr>
      <w:rFonts w:eastAsia="方正楷体_GBK"/>
      <w:bCs/>
      <w:kern w:val="2"/>
      <w:sz w:val="30"/>
      <w:szCs w:val="32"/>
    </w:rPr>
  </w:style>
  <w:style w:type="character" w:customStyle="1" w:styleId="18">
    <w:name w:val="日期 Char"/>
    <w:basedOn w:val="11"/>
    <w:link w:val="6"/>
    <w:semiHidden/>
    <w:uiPriority w:val="99"/>
    <w:rPr>
      <w:rFonts w:ascii="Times New Roman" w:hAnsi="Times New Roman" w:eastAsia="方正仿宋_GBK"/>
      <w:kern w:val="2"/>
      <w:sz w:val="30"/>
      <w:szCs w:val="22"/>
    </w:rPr>
  </w:style>
  <w:style w:type="character" w:customStyle="1" w:styleId="19">
    <w:name w:val="文档结构图 Char"/>
    <w:basedOn w:val="11"/>
    <w:link w:val="5"/>
    <w:semiHidden/>
    <w:uiPriority w:val="99"/>
    <w:rPr>
      <w:rFonts w:ascii="宋体" w:hAnsi="Times New Roman"/>
      <w:kern w:val="2"/>
      <w:sz w:val="18"/>
      <w:szCs w:val="18"/>
    </w:rPr>
  </w:style>
  <w:style w:type="character" w:customStyle="1" w:styleId="20">
    <w:name w:val="标题 Char"/>
    <w:basedOn w:val="11"/>
    <w:link w:val="10"/>
    <w:uiPriority w:val="10"/>
    <w:rPr>
      <w:rFonts w:ascii="方正小标宋_GBK" w:hAnsi="Times New Roman" w:eastAsia="方正小标宋_GBK"/>
      <w:kern w:val="2"/>
      <w:sz w:val="40"/>
      <w:szCs w:val="40"/>
    </w:rPr>
  </w:style>
  <w:style w:type="paragraph" w:customStyle="1" w:styleId="21">
    <w:name w:val="List Paragraph"/>
    <w:basedOn w:val="1"/>
    <w:qFormat/>
    <w:uiPriority w:val="34"/>
    <w:pPr>
      <w:spacing w:line="240" w:lineRule="auto"/>
      <w:ind w:firstLine="420" w:firstLineChars="200"/>
      <w:textAlignment w:val="auto"/>
    </w:pPr>
    <w:rPr>
      <w:rFonts w:asciiTheme="minorHAnsi" w:hAnsiTheme="minorHAnsi" w:eastAsiaTheme="minorEastAsia" w:cstheme="minorBidi"/>
      <w:sz w:val="21"/>
    </w:rPr>
  </w:style>
  <w:style w:type="paragraph" w:customStyle="1" w:styleId="22">
    <w:name w:val="公文正文"/>
    <w:basedOn w:val="1"/>
    <w:link w:val="23"/>
    <w:qFormat/>
    <w:uiPriority w:val="0"/>
    <w:pPr>
      <w:ind w:firstLine="600"/>
    </w:pPr>
  </w:style>
  <w:style w:type="character" w:customStyle="1" w:styleId="23">
    <w:name w:val="公文正文 Char"/>
    <w:basedOn w:val="11"/>
    <w:link w:val="22"/>
    <w:qFormat/>
    <w:uiPriority w:val="0"/>
    <w:rPr>
      <w:rFonts w:ascii="Times New Roman" w:hAnsi="Times New Roman" w:eastAsia="方正仿宋_GBK"/>
      <w:kern w:val="2"/>
      <w:sz w:val="30"/>
      <w:szCs w:val="22"/>
    </w:rPr>
  </w:style>
  <w:style w:type="character" w:customStyle="1" w:styleId="24">
    <w:name w:val="批注框文本 Char"/>
    <w:basedOn w:val="11"/>
    <w:link w:val="7"/>
    <w:semiHidden/>
    <w:uiPriority w:val="99"/>
    <w:rPr>
      <w:rFonts w:ascii="Times New Roman" w:hAnsi="Times New Roman" w:eastAsia="方正仿宋_GBK"/>
      <w:kern w:val="2"/>
      <w:sz w:val="18"/>
      <w:szCs w:val="18"/>
    </w:rPr>
  </w:style>
  <w:style w:type="character" w:customStyle="1" w:styleId="25">
    <w:name w:val="Placeholder Text"/>
    <w:basedOn w:val="11"/>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1926</Words>
  <Characters>10981</Characters>
  <Lines>91</Lines>
  <Paragraphs>25</Paragraphs>
  <ScaleCrop>false</ScaleCrop>
  <LinksUpToDate>false</LinksUpToDate>
  <CharactersWithSpaces>12882</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2018-05-14T01:02:00Z</dcterms:created>
  <dc:creator>程建林</dc:creator>
  <cp:lastModifiedBy>editor</cp:lastModifiedBy>
  <cp:lastPrinted>2019-05-28T11:13:00Z</cp:lastPrinted>
  <dcterms:modified xsi:type="dcterms:W3CDTF">2019-05-30T07:58:05Z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